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FC39" w14:textId="3A9C93B7" w:rsidR="009B12DE" w:rsidRDefault="009B12DE" w:rsidP="009B12DE">
      <w:pPr>
        <w:jc w:val="center"/>
      </w:pPr>
    </w:p>
    <w:p w14:paraId="23DB9D70" w14:textId="3B338FE1" w:rsidR="00C43CE7" w:rsidRDefault="00C43CE7" w:rsidP="009B12DE">
      <w:pPr>
        <w:jc w:val="center"/>
      </w:pPr>
    </w:p>
    <w:p w14:paraId="44237B70" w14:textId="20434338" w:rsidR="00C43CE7" w:rsidRDefault="00C43CE7" w:rsidP="009B12DE">
      <w:pPr>
        <w:jc w:val="center"/>
      </w:pPr>
    </w:p>
    <w:p w14:paraId="4F76726A" w14:textId="0E1039C2" w:rsidR="00C43CE7" w:rsidRDefault="00C43CE7" w:rsidP="009B12DE">
      <w:pPr>
        <w:jc w:val="center"/>
      </w:pPr>
    </w:p>
    <w:p w14:paraId="1F847483" w14:textId="37767F6F" w:rsidR="00C43CE7" w:rsidRDefault="00C43CE7" w:rsidP="009B12DE">
      <w:pPr>
        <w:jc w:val="center"/>
      </w:pPr>
    </w:p>
    <w:p w14:paraId="5803A7DB" w14:textId="1F4B50EE" w:rsidR="00C43CE7" w:rsidRDefault="00C43CE7" w:rsidP="009B12DE">
      <w:pPr>
        <w:jc w:val="center"/>
      </w:pPr>
    </w:p>
    <w:p w14:paraId="276C822B" w14:textId="08CA7EF2" w:rsidR="00C43CE7" w:rsidRDefault="00C43CE7" w:rsidP="009B12DE">
      <w:pPr>
        <w:jc w:val="center"/>
      </w:pPr>
    </w:p>
    <w:p w14:paraId="5B74BCCA" w14:textId="287B7809" w:rsidR="00C43CE7" w:rsidRDefault="00C43CE7" w:rsidP="009B12DE">
      <w:pPr>
        <w:jc w:val="center"/>
      </w:pPr>
    </w:p>
    <w:p w14:paraId="23B8C544" w14:textId="02748CEF" w:rsidR="00C43CE7" w:rsidRDefault="00C43CE7" w:rsidP="009B12DE">
      <w:pPr>
        <w:jc w:val="center"/>
      </w:pPr>
    </w:p>
    <w:p w14:paraId="4C4F6E63" w14:textId="1E4AA356" w:rsidR="00C43CE7" w:rsidRDefault="00C43CE7" w:rsidP="009B12DE">
      <w:pPr>
        <w:jc w:val="center"/>
      </w:pPr>
    </w:p>
    <w:p w14:paraId="3068DCC8" w14:textId="77777777" w:rsidR="00C43CE7" w:rsidRDefault="00C43CE7" w:rsidP="009B12DE">
      <w:pPr>
        <w:jc w:val="center"/>
      </w:pPr>
    </w:p>
    <w:p w14:paraId="1FE5EC81" w14:textId="77777777" w:rsidR="009B12DE" w:rsidRDefault="009B12DE" w:rsidP="009B12DE">
      <w:pPr>
        <w:jc w:val="center"/>
      </w:pPr>
      <w:r>
        <w:rPr>
          <w:noProof/>
          <w:lang w:eastAsia="en-GB"/>
        </w:rPr>
        <w:drawing>
          <wp:inline distT="0" distB="0" distL="0" distR="0" wp14:anchorId="7D4E5B6C" wp14:editId="42163C0A">
            <wp:extent cx="327660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904875"/>
                    </a:xfrm>
                    <a:prstGeom prst="rect">
                      <a:avLst/>
                    </a:prstGeom>
                    <a:noFill/>
                  </pic:spPr>
                </pic:pic>
              </a:graphicData>
            </a:graphic>
          </wp:inline>
        </w:drawing>
      </w:r>
    </w:p>
    <w:p w14:paraId="52AEC384" w14:textId="77777777" w:rsidR="009B12DE" w:rsidRDefault="009B12DE" w:rsidP="009B12DE"/>
    <w:p w14:paraId="158F70B4" w14:textId="77777777" w:rsidR="009B12DE" w:rsidRDefault="009B12DE" w:rsidP="009B12DE"/>
    <w:p w14:paraId="3AE36363" w14:textId="77777777" w:rsidR="009B12DE" w:rsidRDefault="009B12DE" w:rsidP="009B12DE"/>
    <w:p w14:paraId="40689712" w14:textId="77777777" w:rsidR="009B12DE" w:rsidRDefault="009B12DE" w:rsidP="009B12DE"/>
    <w:p w14:paraId="077859AC" w14:textId="77777777" w:rsidR="009B12DE" w:rsidRDefault="009B12DE" w:rsidP="009B12DE"/>
    <w:p w14:paraId="2F14BD94" w14:textId="77777777" w:rsidR="009B12DE" w:rsidRPr="00A8089C" w:rsidRDefault="009B12DE" w:rsidP="009B12DE"/>
    <w:p w14:paraId="49B9A30B" w14:textId="77777777" w:rsidR="009B12DE" w:rsidRPr="00A8089C" w:rsidRDefault="009B12DE" w:rsidP="009B12DE">
      <w:pPr>
        <w:rPr>
          <w:rFonts w:ascii="Century Gothic" w:hAnsi="Century Gothic"/>
        </w:rPr>
      </w:pPr>
    </w:p>
    <w:p w14:paraId="71B0B363" w14:textId="77777777" w:rsidR="009B12DE" w:rsidRPr="0020228C" w:rsidRDefault="009B12DE" w:rsidP="009B12DE">
      <w:pPr>
        <w:jc w:val="center"/>
        <w:rPr>
          <w:rFonts w:ascii="Century Gothic" w:hAnsi="Century Gothic"/>
          <w:b/>
          <w:color w:val="2E74B5" w:themeColor="accent1" w:themeShade="BF"/>
          <w:sz w:val="28"/>
          <w:szCs w:val="28"/>
        </w:rPr>
      </w:pPr>
      <w:r w:rsidRPr="0020228C">
        <w:rPr>
          <w:rFonts w:ascii="Century Gothic" w:hAnsi="Century Gothic"/>
          <w:b/>
          <w:color w:val="2E74B5" w:themeColor="accent1" w:themeShade="BF"/>
          <w:sz w:val="28"/>
          <w:szCs w:val="28"/>
        </w:rPr>
        <w:t>Better Futures Multi Academy Trust</w:t>
      </w:r>
    </w:p>
    <w:p w14:paraId="22DEC75D" w14:textId="77777777" w:rsidR="009B12DE" w:rsidRDefault="009B12DE" w:rsidP="009B12DE">
      <w:pPr>
        <w:jc w:val="center"/>
        <w:rPr>
          <w:rFonts w:ascii="Century Gothic" w:hAnsi="Century Gothic"/>
          <w:b/>
          <w:sz w:val="28"/>
          <w:szCs w:val="28"/>
        </w:rPr>
      </w:pPr>
      <w:r w:rsidRPr="00EA3919">
        <w:rPr>
          <w:rFonts w:ascii="Century Gothic" w:hAnsi="Century Gothic"/>
          <w:b/>
          <w:sz w:val="28"/>
          <w:szCs w:val="28"/>
        </w:rPr>
        <w:t>(A Company Limited by Guarantee)</w:t>
      </w:r>
    </w:p>
    <w:p w14:paraId="579311ED" w14:textId="77777777" w:rsidR="009B12DE" w:rsidRPr="00EA3919" w:rsidRDefault="009B12DE" w:rsidP="009B12DE">
      <w:pPr>
        <w:jc w:val="center"/>
        <w:rPr>
          <w:rFonts w:ascii="Century Gothic" w:hAnsi="Century Gothic"/>
          <w:b/>
          <w:sz w:val="28"/>
          <w:szCs w:val="28"/>
        </w:rPr>
      </w:pPr>
    </w:p>
    <w:p w14:paraId="40239474" w14:textId="220E4023" w:rsidR="009B12DE" w:rsidRPr="00EA3919" w:rsidRDefault="009B12DE" w:rsidP="009B12DE">
      <w:pPr>
        <w:jc w:val="center"/>
        <w:rPr>
          <w:rFonts w:ascii="Century Gothic" w:hAnsi="Century Gothic"/>
          <w:b/>
          <w:sz w:val="28"/>
          <w:szCs w:val="28"/>
        </w:rPr>
      </w:pPr>
      <w:r>
        <w:rPr>
          <w:rFonts w:ascii="Century Gothic" w:hAnsi="Century Gothic"/>
          <w:b/>
          <w:sz w:val="28"/>
          <w:szCs w:val="28"/>
        </w:rPr>
        <w:t xml:space="preserve">Gender Pay Report </w:t>
      </w:r>
    </w:p>
    <w:p w14:paraId="3002FA70" w14:textId="49583488" w:rsidR="009B12DE" w:rsidRPr="00EA3919" w:rsidRDefault="009B12DE" w:rsidP="009B12DE">
      <w:pPr>
        <w:jc w:val="center"/>
        <w:rPr>
          <w:rFonts w:ascii="Century Gothic" w:hAnsi="Century Gothic"/>
          <w:b/>
          <w:sz w:val="28"/>
          <w:szCs w:val="28"/>
        </w:rPr>
      </w:pPr>
      <w:r w:rsidRPr="00EA3919">
        <w:rPr>
          <w:rFonts w:ascii="Century Gothic" w:hAnsi="Century Gothic"/>
          <w:b/>
          <w:sz w:val="28"/>
          <w:szCs w:val="28"/>
        </w:rPr>
        <w:t xml:space="preserve">31 </w:t>
      </w:r>
      <w:r>
        <w:rPr>
          <w:rFonts w:ascii="Century Gothic" w:hAnsi="Century Gothic"/>
          <w:b/>
          <w:sz w:val="28"/>
          <w:szCs w:val="28"/>
        </w:rPr>
        <w:t>March 202</w:t>
      </w:r>
      <w:r w:rsidR="002F4D23">
        <w:rPr>
          <w:rFonts w:ascii="Century Gothic" w:hAnsi="Century Gothic"/>
          <w:b/>
          <w:sz w:val="28"/>
          <w:szCs w:val="28"/>
        </w:rPr>
        <w:t>4</w:t>
      </w:r>
    </w:p>
    <w:p w14:paraId="7ECEE3F2" w14:textId="77777777" w:rsidR="009B12DE" w:rsidRDefault="009B12DE" w:rsidP="00E57595">
      <w:pPr>
        <w:jc w:val="both"/>
        <w:rPr>
          <w:rFonts w:ascii="Century Gothic" w:hAnsi="Century Gothic" w:cs="Arial"/>
          <w:b/>
          <w:sz w:val="22"/>
          <w:szCs w:val="22"/>
        </w:rPr>
      </w:pPr>
    </w:p>
    <w:p w14:paraId="74F9D7F5" w14:textId="77777777" w:rsidR="009B12DE" w:rsidRDefault="009B12DE" w:rsidP="00E57595">
      <w:pPr>
        <w:jc w:val="both"/>
        <w:rPr>
          <w:rFonts w:ascii="Century Gothic" w:hAnsi="Century Gothic" w:cs="Arial"/>
          <w:b/>
          <w:sz w:val="22"/>
          <w:szCs w:val="22"/>
        </w:rPr>
      </w:pPr>
    </w:p>
    <w:p w14:paraId="0E8CD71C" w14:textId="77777777" w:rsidR="009B12DE" w:rsidRDefault="009B12DE" w:rsidP="00E57595">
      <w:pPr>
        <w:jc w:val="both"/>
        <w:rPr>
          <w:rFonts w:ascii="Century Gothic" w:hAnsi="Century Gothic" w:cs="Arial"/>
          <w:b/>
          <w:sz w:val="22"/>
          <w:szCs w:val="22"/>
        </w:rPr>
      </w:pPr>
    </w:p>
    <w:p w14:paraId="441AC085" w14:textId="77777777" w:rsidR="009B12DE" w:rsidRDefault="009B12DE" w:rsidP="00E57595">
      <w:pPr>
        <w:jc w:val="both"/>
        <w:rPr>
          <w:rFonts w:ascii="Century Gothic" w:hAnsi="Century Gothic" w:cs="Arial"/>
          <w:b/>
          <w:sz w:val="22"/>
          <w:szCs w:val="22"/>
        </w:rPr>
      </w:pPr>
    </w:p>
    <w:p w14:paraId="49783A37" w14:textId="77777777" w:rsidR="009B12DE" w:rsidRDefault="009B12DE" w:rsidP="00E57595">
      <w:pPr>
        <w:jc w:val="both"/>
        <w:rPr>
          <w:rFonts w:ascii="Century Gothic" w:hAnsi="Century Gothic" w:cs="Arial"/>
          <w:b/>
          <w:sz w:val="22"/>
          <w:szCs w:val="22"/>
        </w:rPr>
      </w:pPr>
    </w:p>
    <w:p w14:paraId="4CD8BF0E" w14:textId="77777777" w:rsidR="009B12DE" w:rsidRDefault="009B12DE" w:rsidP="00E57595">
      <w:pPr>
        <w:jc w:val="both"/>
        <w:rPr>
          <w:rFonts w:ascii="Century Gothic" w:hAnsi="Century Gothic" w:cs="Arial"/>
          <w:b/>
          <w:sz w:val="22"/>
          <w:szCs w:val="22"/>
        </w:rPr>
      </w:pPr>
    </w:p>
    <w:p w14:paraId="0270A5A5" w14:textId="77777777" w:rsidR="009B12DE" w:rsidRDefault="009B12DE" w:rsidP="00E57595">
      <w:pPr>
        <w:jc w:val="both"/>
        <w:rPr>
          <w:rFonts w:ascii="Century Gothic" w:hAnsi="Century Gothic" w:cs="Arial"/>
          <w:b/>
          <w:sz w:val="22"/>
          <w:szCs w:val="22"/>
        </w:rPr>
      </w:pPr>
    </w:p>
    <w:p w14:paraId="371D09EA" w14:textId="77777777" w:rsidR="009B12DE" w:rsidRDefault="009B12DE" w:rsidP="00E57595">
      <w:pPr>
        <w:jc w:val="both"/>
        <w:rPr>
          <w:rFonts w:ascii="Century Gothic" w:hAnsi="Century Gothic" w:cs="Arial"/>
          <w:b/>
          <w:sz w:val="22"/>
          <w:szCs w:val="22"/>
        </w:rPr>
      </w:pPr>
    </w:p>
    <w:p w14:paraId="038BF77A" w14:textId="77777777" w:rsidR="009B12DE" w:rsidRDefault="009B12DE" w:rsidP="00E57595">
      <w:pPr>
        <w:jc w:val="both"/>
        <w:rPr>
          <w:rFonts w:ascii="Century Gothic" w:hAnsi="Century Gothic" w:cs="Arial"/>
          <w:b/>
          <w:sz w:val="22"/>
          <w:szCs w:val="22"/>
        </w:rPr>
      </w:pPr>
    </w:p>
    <w:p w14:paraId="73989CAE" w14:textId="77777777" w:rsidR="009B12DE" w:rsidRDefault="009B12DE" w:rsidP="00E57595">
      <w:pPr>
        <w:jc w:val="both"/>
        <w:rPr>
          <w:rFonts w:ascii="Century Gothic" w:hAnsi="Century Gothic" w:cs="Arial"/>
          <w:b/>
          <w:sz w:val="22"/>
          <w:szCs w:val="22"/>
        </w:rPr>
      </w:pPr>
    </w:p>
    <w:p w14:paraId="1348037D" w14:textId="77777777" w:rsidR="009B12DE" w:rsidRDefault="009B12DE" w:rsidP="00E57595">
      <w:pPr>
        <w:jc w:val="both"/>
        <w:rPr>
          <w:rFonts w:ascii="Century Gothic" w:hAnsi="Century Gothic" w:cs="Arial"/>
          <w:b/>
          <w:sz w:val="22"/>
          <w:szCs w:val="22"/>
        </w:rPr>
      </w:pPr>
    </w:p>
    <w:p w14:paraId="2A280D37" w14:textId="77777777" w:rsidR="009B12DE" w:rsidRDefault="009B12DE" w:rsidP="00E57595">
      <w:pPr>
        <w:jc w:val="both"/>
        <w:rPr>
          <w:rFonts w:ascii="Century Gothic" w:hAnsi="Century Gothic" w:cs="Arial"/>
          <w:b/>
          <w:sz w:val="22"/>
          <w:szCs w:val="22"/>
        </w:rPr>
      </w:pPr>
    </w:p>
    <w:p w14:paraId="71817780" w14:textId="77777777" w:rsidR="009B12DE" w:rsidRDefault="009B12DE" w:rsidP="00E57595">
      <w:pPr>
        <w:jc w:val="both"/>
        <w:rPr>
          <w:rFonts w:ascii="Century Gothic" w:hAnsi="Century Gothic" w:cs="Arial"/>
          <w:b/>
          <w:sz w:val="22"/>
          <w:szCs w:val="22"/>
        </w:rPr>
      </w:pPr>
    </w:p>
    <w:p w14:paraId="38E0538E" w14:textId="77777777" w:rsidR="009B12DE" w:rsidRDefault="009B12DE" w:rsidP="00E57595">
      <w:pPr>
        <w:jc w:val="both"/>
        <w:rPr>
          <w:rFonts w:ascii="Century Gothic" w:hAnsi="Century Gothic" w:cs="Arial"/>
          <w:b/>
          <w:sz w:val="22"/>
          <w:szCs w:val="22"/>
        </w:rPr>
      </w:pPr>
    </w:p>
    <w:p w14:paraId="392D76A4" w14:textId="77777777" w:rsidR="009B12DE" w:rsidRDefault="009B12DE" w:rsidP="00E57595">
      <w:pPr>
        <w:jc w:val="both"/>
        <w:rPr>
          <w:rFonts w:ascii="Century Gothic" w:hAnsi="Century Gothic" w:cs="Arial"/>
          <w:b/>
          <w:sz w:val="22"/>
          <w:szCs w:val="22"/>
        </w:rPr>
      </w:pPr>
    </w:p>
    <w:p w14:paraId="0556F22D" w14:textId="77777777" w:rsidR="009B12DE" w:rsidRDefault="009B12DE" w:rsidP="00E57595">
      <w:pPr>
        <w:jc w:val="both"/>
        <w:rPr>
          <w:rFonts w:ascii="Century Gothic" w:hAnsi="Century Gothic" w:cs="Arial"/>
          <w:b/>
          <w:sz w:val="22"/>
          <w:szCs w:val="22"/>
        </w:rPr>
      </w:pPr>
    </w:p>
    <w:p w14:paraId="432A283F" w14:textId="77777777" w:rsidR="009B12DE" w:rsidRDefault="009B12DE" w:rsidP="00E57595">
      <w:pPr>
        <w:jc w:val="both"/>
        <w:rPr>
          <w:rFonts w:ascii="Century Gothic" w:hAnsi="Century Gothic" w:cs="Arial"/>
          <w:b/>
          <w:sz w:val="22"/>
          <w:szCs w:val="22"/>
        </w:rPr>
      </w:pPr>
    </w:p>
    <w:p w14:paraId="772F2099" w14:textId="77777777" w:rsidR="009B12DE" w:rsidRDefault="009B12DE" w:rsidP="00E57595">
      <w:pPr>
        <w:jc w:val="both"/>
        <w:rPr>
          <w:rFonts w:ascii="Century Gothic" w:hAnsi="Century Gothic" w:cs="Arial"/>
          <w:b/>
          <w:sz w:val="22"/>
          <w:szCs w:val="22"/>
        </w:rPr>
      </w:pPr>
    </w:p>
    <w:p w14:paraId="0A373315" w14:textId="77777777" w:rsidR="009B12DE" w:rsidRDefault="009B12DE" w:rsidP="00E57595">
      <w:pPr>
        <w:jc w:val="both"/>
        <w:rPr>
          <w:rFonts w:ascii="Century Gothic" w:hAnsi="Century Gothic" w:cs="Arial"/>
          <w:b/>
          <w:sz w:val="22"/>
          <w:szCs w:val="22"/>
        </w:rPr>
      </w:pPr>
    </w:p>
    <w:p w14:paraId="1C79E3D2" w14:textId="77777777" w:rsidR="009B12DE" w:rsidRDefault="009B12DE" w:rsidP="00E57595">
      <w:pPr>
        <w:jc w:val="both"/>
        <w:rPr>
          <w:rFonts w:ascii="Century Gothic" w:hAnsi="Century Gothic" w:cs="Arial"/>
          <w:b/>
          <w:sz w:val="22"/>
          <w:szCs w:val="22"/>
        </w:rPr>
      </w:pPr>
    </w:p>
    <w:p w14:paraId="3F54F132" w14:textId="77777777" w:rsidR="009B12DE" w:rsidRDefault="009B12DE" w:rsidP="00E57595">
      <w:pPr>
        <w:jc w:val="both"/>
        <w:rPr>
          <w:rFonts w:ascii="Century Gothic" w:hAnsi="Century Gothic" w:cs="Arial"/>
          <w:b/>
          <w:sz w:val="22"/>
          <w:szCs w:val="22"/>
        </w:rPr>
      </w:pPr>
    </w:p>
    <w:p w14:paraId="3483F005" w14:textId="77777777" w:rsidR="009B12DE" w:rsidRDefault="009B12DE" w:rsidP="00E57595">
      <w:pPr>
        <w:jc w:val="both"/>
        <w:rPr>
          <w:rFonts w:ascii="Century Gothic" w:hAnsi="Century Gothic" w:cs="Arial"/>
          <w:b/>
          <w:sz w:val="22"/>
          <w:szCs w:val="22"/>
        </w:rPr>
      </w:pPr>
    </w:p>
    <w:p w14:paraId="265D91AC" w14:textId="41A6E190" w:rsidR="009B12DE" w:rsidRDefault="009B12DE" w:rsidP="00E57595">
      <w:pPr>
        <w:jc w:val="both"/>
        <w:rPr>
          <w:rFonts w:ascii="Century Gothic" w:hAnsi="Century Gothic" w:cs="Arial"/>
          <w:b/>
          <w:sz w:val="22"/>
          <w:szCs w:val="22"/>
        </w:rPr>
      </w:pPr>
    </w:p>
    <w:p w14:paraId="3A282036" w14:textId="30689BB9" w:rsidR="009B12DE" w:rsidRDefault="009B12DE" w:rsidP="00E57595">
      <w:pPr>
        <w:jc w:val="both"/>
        <w:rPr>
          <w:rFonts w:ascii="Century Gothic" w:hAnsi="Century Gothic" w:cs="Arial"/>
          <w:b/>
          <w:sz w:val="22"/>
          <w:szCs w:val="22"/>
        </w:rPr>
      </w:pPr>
    </w:p>
    <w:p w14:paraId="382AD575" w14:textId="77777777" w:rsidR="009B12DE" w:rsidRDefault="009B12DE" w:rsidP="00E57595">
      <w:pPr>
        <w:jc w:val="both"/>
        <w:rPr>
          <w:rFonts w:ascii="Century Gothic" w:hAnsi="Century Gothic" w:cs="Arial"/>
          <w:b/>
          <w:sz w:val="22"/>
          <w:szCs w:val="22"/>
        </w:rPr>
      </w:pPr>
    </w:p>
    <w:p w14:paraId="140995FC" w14:textId="77777777" w:rsidR="009B12DE" w:rsidRDefault="009B12DE" w:rsidP="00E57595">
      <w:pPr>
        <w:jc w:val="both"/>
        <w:rPr>
          <w:rFonts w:ascii="Century Gothic" w:hAnsi="Century Gothic" w:cs="Arial"/>
          <w:b/>
          <w:sz w:val="22"/>
          <w:szCs w:val="22"/>
        </w:rPr>
      </w:pPr>
    </w:p>
    <w:p w14:paraId="43E897C6" w14:textId="77777777" w:rsidR="009B12DE" w:rsidRDefault="009B12DE" w:rsidP="009B12DE">
      <w:pPr>
        <w:spacing w:before="48"/>
        <w:ind w:left="478"/>
        <w:rPr>
          <w:rFonts w:ascii="Trebuchet MS"/>
          <w:color w:val="2D74B5"/>
          <w:sz w:val="28"/>
        </w:rPr>
      </w:pPr>
    </w:p>
    <w:p w14:paraId="748BA4AA" w14:textId="4D136F4E" w:rsidR="009B12DE" w:rsidRDefault="009B12DE" w:rsidP="009B12DE">
      <w:pPr>
        <w:spacing w:before="48"/>
        <w:ind w:left="478"/>
        <w:rPr>
          <w:rFonts w:ascii="Trebuchet MS"/>
          <w:color w:val="2D74B5"/>
          <w:sz w:val="28"/>
        </w:rPr>
      </w:pPr>
      <w:r>
        <w:rPr>
          <w:rFonts w:ascii="Trebuchet MS"/>
          <w:color w:val="2D74B5"/>
          <w:sz w:val="28"/>
        </w:rPr>
        <w:t>Contents</w:t>
      </w:r>
    </w:p>
    <w:p w14:paraId="7DA1DE25" w14:textId="77777777" w:rsidR="009B12DE" w:rsidRDefault="009B12DE" w:rsidP="009B12DE">
      <w:pPr>
        <w:spacing w:before="48"/>
        <w:ind w:left="478"/>
        <w:rPr>
          <w:rFonts w:ascii="Trebuchet MS"/>
          <w:sz w:val="28"/>
        </w:rPr>
      </w:pPr>
    </w:p>
    <w:sdt>
      <w:sdtPr>
        <w:rPr>
          <w:rFonts w:ascii="Carlito" w:eastAsia="Carlito" w:hAnsi="Carlito" w:cs="Carlito"/>
          <w:sz w:val="22"/>
          <w:szCs w:val="22"/>
          <w:lang w:val="en-GB"/>
        </w:rPr>
        <w:id w:val="-1455783101"/>
        <w:docPartObj>
          <w:docPartGallery w:val="Table of Contents"/>
          <w:docPartUnique/>
        </w:docPartObj>
      </w:sdtPr>
      <w:sdtEndPr>
        <w:rPr>
          <w:rFonts w:ascii="Courier New" w:eastAsia="Times New Roman" w:hAnsi="Courier New" w:cs="Times New Roman"/>
          <w:sz w:val="20"/>
          <w:szCs w:val="20"/>
        </w:rPr>
      </w:sdtEndPr>
      <w:sdtContent>
        <w:p w14:paraId="2C38FCE1" w14:textId="77777777" w:rsidR="009B12DE" w:rsidRDefault="009B12DE" w:rsidP="009B12DE">
          <w:pPr>
            <w:pStyle w:val="TOC1"/>
            <w:numPr>
              <w:ilvl w:val="0"/>
              <w:numId w:val="6"/>
            </w:numPr>
            <w:tabs>
              <w:tab w:val="left" w:pos="917"/>
              <w:tab w:val="left" w:pos="919"/>
              <w:tab w:val="right" w:leader="dot" w:pos="9826"/>
            </w:tabs>
            <w:spacing w:before="61"/>
            <w:ind w:hanging="441"/>
          </w:pPr>
          <w:r>
            <w:fldChar w:fldCharType="begin"/>
          </w:r>
          <w:r>
            <w:instrText xml:space="preserve">TOC \o "1-1" \h \z \u </w:instrText>
          </w:r>
          <w:r>
            <w:fldChar w:fldCharType="separate"/>
          </w:r>
          <w:hyperlink w:anchor="_bookmark0" w:history="1">
            <w:r>
              <w:t>Introduction</w:t>
            </w:r>
            <w:r>
              <w:tab/>
              <w:t>3</w:t>
            </w:r>
          </w:hyperlink>
        </w:p>
        <w:p w14:paraId="214A059A" w14:textId="77777777" w:rsidR="009B12DE" w:rsidRDefault="009B12DE" w:rsidP="009B12DE">
          <w:pPr>
            <w:pStyle w:val="TOC1"/>
            <w:numPr>
              <w:ilvl w:val="0"/>
              <w:numId w:val="6"/>
            </w:numPr>
            <w:tabs>
              <w:tab w:val="left" w:pos="917"/>
              <w:tab w:val="left" w:pos="919"/>
              <w:tab w:val="right" w:leader="dot" w:pos="9826"/>
            </w:tabs>
            <w:ind w:hanging="441"/>
          </w:pPr>
          <w:hyperlink w:anchor="_bookmark1" w:history="1">
            <w:r>
              <w:t>Mean &amp;</w:t>
            </w:r>
            <w:r>
              <w:rPr>
                <w:spacing w:val="-4"/>
              </w:rPr>
              <w:t xml:space="preserve"> </w:t>
            </w:r>
            <w:r>
              <w:t>Median</w:t>
            </w:r>
            <w:r>
              <w:rPr>
                <w:spacing w:val="-1"/>
              </w:rPr>
              <w:t xml:space="preserve"> </w:t>
            </w:r>
            <w:r>
              <w:t>Outcomes</w:t>
            </w:r>
            <w:r>
              <w:tab/>
              <w:t>4</w:t>
            </w:r>
          </w:hyperlink>
        </w:p>
        <w:p w14:paraId="2FC5B1D3" w14:textId="77777777" w:rsidR="009B12DE" w:rsidRDefault="009B12DE" w:rsidP="009B12DE">
          <w:pPr>
            <w:pStyle w:val="TOC1"/>
            <w:numPr>
              <w:ilvl w:val="0"/>
              <w:numId w:val="6"/>
            </w:numPr>
            <w:tabs>
              <w:tab w:val="left" w:pos="917"/>
              <w:tab w:val="left" w:pos="919"/>
              <w:tab w:val="right" w:leader="dot" w:pos="9826"/>
            </w:tabs>
            <w:ind w:hanging="441"/>
          </w:pPr>
          <w:hyperlink w:anchor="_bookmark3" w:history="1">
            <w:r>
              <w:t>What are the underlying causes of BFMAT’s gender</w:t>
            </w:r>
            <w:r>
              <w:rPr>
                <w:spacing w:val="-7"/>
              </w:rPr>
              <w:t xml:space="preserve"> </w:t>
            </w:r>
            <w:r>
              <w:t>pay</w:t>
            </w:r>
            <w:r>
              <w:rPr>
                <w:spacing w:val="-1"/>
              </w:rPr>
              <w:t xml:space="preserve"> </w:t>
            </w:r>
            <w:r>
              <w:t>gap?</w:t>
            </w:r>
            <w:r>
              <w:tab/>
              <w:t>6</w:t>
            </w:r>
          </w:hyperlink>
        </w:p>
        <w:p w14:paraId="4E43AD10" w14:textId="77777777" w:rsidR="009B12DE" w:rsidRDefault="009B12DE" w:rsidP="009B12DE">
          <w:pPr>
            <w:pStyle w:val="TOC1"/>
            <w:numPr>
              <w:ilvl w:val="0"/>
              <w:numId w:val="6"/>
            </w:numPr>
            <w:tabs>
              <w:tab w:val="left" w:pos="917"/>
              <w:tab w:val="left" w:pos="919"/>
              <w:tab w:val="right" w:leader="dot" w:pos="9826"/>
            </w:tabs>
            <w:spacing w:before="101"/>
            <w:ind w:hanging="441"/>
          </w:pPr>
          <w:hyperlink w:anchor="_bookmark4" w:history="1">
            <w:r>
              <w:t>How does BFMAT’s gender pay gap compare with that of</w:t>
            </w:r>
            <w:r>
              <w:rPr>
                <w:spacing w:val="-12"/>
              </w:rPr>
              <w:t xml:space="preserve"> </w:t>
            </w:r>
            <w:r>
              <w:t>other</w:t>
            </w:r>
            <w:r>
              <w:rPr>
                <w:spacing w:val="-3"/>
              </w:rPr>
              <w:t xml:space="preserve"> </w:t>
            </w:r>
            <w:r>
              <w:t>organisations?</w:t>
            </w:r>
            <w:r>
              <w:tab/>
              <w:t>6</w:t>
            </w:r>
          </w:hyperlink>
        </w:p>
        <w:p w14:paraId="15532E9C" w14:textId="77777777" w:rsidR="009B12DE" w:rsidRDefault="009B12DE" w:rsidP="009B12DE">
          <w:pPr>
            <w:pStyle w:val="TOC1"/>
            <w:numPr>
              <w:ilvl w:val="0"/>
              <w:numId w:val="6"/>
            </w:numPr>
            <w:tabs>
              <w:tab w:val="left" w:pos="917"/>
              <w:tab w:val="left" w:pos="919"/>
              <w:tab w:val="right" w:leader="dot" w:pos="9826"/>
            </w:tabs>
            <w:spacing w:before="101"/>
            <w:ind w:hanging="441"/>
          </w:pPr>
          <w:hyperlink w:anchor="_bookmark6" w:history="1">
            <w:r>
              <w:t>How are we supporting gender equality in</w:t>
            </w:r>
            <w:r>
              <w:rPr>
                <w:spacing w:val="-8"/>
              </w:rPr>
              <w:t xml:space="preserve"> </w:t>
            </w:r>
            <w:r>
              <w:t>the Trust?</w:t>
            </w:r>
            <w:r>
              <w:tab/>
              <w:t>7</w:t>
            </w:r>
          </w:hyperlink>
        </w:p>
        <w:p w14:paraId="332FCA73" w14:textId="77777777" w:rsidR="009B12DE" w:rsidRDefault="009B12DE" w:rsidP="009B12DE">
          <w:pPr>
            <w:pStyle w:val="TOC1"/>
            <w:numPr>
              <w:ilvl w:val="0"/>
              <w:numId w:val="6"/>
            </w:numPr>
            <w:tabs>
              <w:tab w:val="left" w:pos="917"/>
              <w:tab w:val="left" w:pos="919"/>
              <w:tab w:val="right" w:leader="dot" w:pos="9826"/>
            </w:tabs>
            <w:ind w:hanging="441"/>
          </w:pPr>
          <w:hyperlink w:anchor="_bookmark7" w:history="1">
            <w:r>
              <w:t>Conclusion</w:t>
            </w:r>
            <w:r>
              <w:tab/>
              <w:t>8</w:t>
            </w:r>
          </w:hyperlink>
        </w:p>
        <w:p w14:paraId="4B7664F5" w14:textId="77777777" w:rsidR="009B12DE" w:rsidRDefault="009B12DE" w:rsidP="009B12DE">
          <w:r>
            <w:fldChar w:fldCharType="end"/>
          </w:r>
        </w:p>
      </w:sdtContent>
    </w:sdt>
    <w:p w14:paraId="76B8CBA3" w14:textId="521BA7FC" w:rsidR="009B12DE" w:rsidRDefault="009B12DE" w:rsidP="00E57595">
      <w:pPr>
        <w:jc w:val="both"/>
        <w:rPr>
          <w:rFonts w:ascii="Century Gothic" w:hAnsi="Century Gothic" w:cs="Arial"/>
          <w:b/>
          <w:sz w:val="22"/>
          <w:szCs w:val="22"/>
        </w:rPr>
      </w:pPr>
    </w:p>
    <w:p w14:paraId="0A085547" w14:textId="7CBC3964" w:rsidR="009B12DE" w:rsidRDefault="009B12DE" w:rsidP="00E57595">
      <w:pPr>
        <w:jc w:val="both"/>
        <w:rPr>
          <w:rFonts w:ascii="Century Gothic" w:hAnsi="Century Gothic" w:cs="Arial"/>
          <w:b/>
          <w:sz w:val="22"/>
          <w:szCs w:val="22"/>
        </w:rPr>
      </w:pPr>
    </w:p>
    <w:p w14:paraId="5BF29ECC" w14:textId="05C2E07D" w:rsidR="009B12DE" w:rsidRDefault="009B12DE" w:rsidP="00E57595">
      <w:pPr>
        <w:jc w:val="both"/>
        <w:rPr>
          <w:rFonts w:ascii="Century Gothic" w:hAnsi="Century Gothic" w:cs="Arial"/>
          <w:b/>
          <w:sz w:val="22"/>
          <w:szCs w:val="22"/>
        </w:rPr>
      </w:pPr>
    </w:p>
    <w:p w14:paraId="202ACFDD" w14:textId="25750A75" w:rsidR="009B12DE" w:rsidRDefault="009B12DE" w:rsidP="00E57595">
      <w:pPr>
        <w:jc w:val="both"/>
        <w:rPr>
          <w:rFonts w:ascii="Century Gothic" w:hAnsi="Century Gothic" w:cs="Arial"/>
          <w:b/>
          <w:sz w:val="22"/>
          <w:szCs w:val="22"/>
        </w:rPr>
      </w:pPr>
    </w:p>
    <w:p w14:paraId="161EF4B0" w14:textId="3C9DB0AC" w:rsidR="009B12DE" w:rsidRDefault="009B12DE" w:rsidP="00E57595">
      <w:pPr>
        <w:jc w:val="both"/>
        <w:rPr>
          <w:rFonts w:ascii="Century Gothic" w:hAnsi="Century Gothic" w:cs="Arial"/>
          <w:b/>
          <w:sz w:val="22"/>
          <w:szCs w:val="22"/>
        </w:rPr>
      </w:pPr>
    </w:p>
    <w:p w14:paraId="088F7AD3" w14:textId="036796F2" w:rsidR="009B12DE" w:rsidRDefault="009B12DE" w:rsidP="00E57595">
      <w:pPr>
        <w:jc w:val="both"/>
        <w:rPr>
          <w:rFonts w:ascii="Century Gothic" w:hAnsi="Century Gothic" w:cs="Arial"/>
          <w:b/>
          <w:sz w:val="22"/>
          <w:szCs w:val="22"/>
        </w:rPr>
      </w:pPr>
    </w:p>
    <w:p w14:paraId="38166E6C" w14:textId="4F96FB07" w:rsidR="009B12DE" w:rsidRDefault="009B12DE" w:rsidP="00E57595">
      <w:pPr>
        <w:jc w:val="both"/>
        <w:rPr>
          <w:rFonts w:ascii="Century Gothic" w:hAnsi="Century Gothic" w:cs="Arial"/>
          <w:b/>
          <w:sz w:val="22"/>
          <w:szCs w:val="22"/>
        </w:rPr>
      </w:pPr>
    </w:p>
    <w:p w14:paraId="6E29148E" w14:textId="390683B2" w:rsidR="009B12DE" w:rsidRDefault="009B12DE" w:rsidP="00E57595">
      <w:pPr>
        <w:jc w:val="both"/>
        <w:rPr>
          <w:rFonts w:ascii="Century Gothic" w:hAnsi="Century Gothic" w:cs="Arial"/>
          <w:b/>
          <w:sz w:val="22"/>
          <w:szCs w:val="22"/>
        </w:rPr>
      </w:pPr>
    </w:p>
    <w:p w14:paraId="49F72419" w14:textId="2930A428" w:rsidR="009B12DE" w:rsidRDefault="009B12DE" w:rsidP="00E57595">
      <w:pPr>
        <w:jc w:val="both"/>
        <w:rPr>
          <w:rFonts w:ascii="Century Gothic" w:hAnsi="Century Gothic" w:cs="Arial"/>
          <w:b/>
          <w:sz w:val="22"/>
          <w:szCs w:val="22"/>
        </w:rPr>
      </w:pPr>
    </w:p>
    <w:p w14:paraId="4A165A89" w14:textId="569C28F6" w:rsidR="009B12DE" w:rsidRDefault="009B12DE" w:rsidP="00E57595">
      <w:pPr>
        <w:jc w:val="both"/>
        <w:rPr>
          <w:rFonts w:ascii="Century Gothic" w:hAnsi="Century Gothic" w:cs="Arial"/>
          <w:b/>
          <w:sz w:val="22"/>
          <w:szCs w:val="22"/>
        </w:rPr>
      </w:pPr>
    </w:p>
    <w:p w14:paraId="3FDC547C" w14:textId="02A20134" w:rsidR="009B12DE" w:rsidRDefault="009B12DE" w:rsidP="00E57595">
      <w:pPr>
        <w:jc w:val="both"/>
        <w:rPr>
          <w:rFonts w:ascii="Century Gothic" w:hAnsi="Century Gothic" w:cs="Arial"/>
          <w:b/>
          <w:sz w:val="22"/>
          <w:szCs w:val="22"/>
        </w:rPr>
      </w:pPr>
    </w:p>
    <w:p w14:paraId="1C14C770" w14:textId="6433D939" w:rsidR="009B12DE" w:rsidRDefault="009B12DE" w:rsidP="00E57595">
      <w:pPr>
        <w:jc w:val="both"/>
        <w:rPr>
          <w:rFonts w:ascii="Century Gothic" w:hAnsi="Century Gothic" w:cs="Arial"/>
          <w:b/>
          <w:sz w:val="22"/>
          <w:szCs w:val="22"/>
        </w:rPr>
      </w:pPr>
    </w:p>
    <w:p w14:paraId="34213FC4" w14:textId="7A9816CB" w:rsidR="009B12DE" w:rsidRDefault="009B12DE" w:rsidP="00E57595">
      <w:pPr>
        <w:jc w:val="both"/>
        <w:rPr>
          <w:rFonts w:ascii="Century Gothic" w:hAnsi="Century Gothic" w:cs="Arial"/>
          <w:b/>
          <w:sz w:val="22"/>
          <w:szCs w:val="22"/>
        </w:rPr>
      </w:pPr>
    </w:p>
    <w:p w14:paraId="37AF6CB9" w14:textId="5FEABC2A" w:rsidR="009B12DE" w:rsidRDefault="009B12DE" w:rsidP="00E57595">
      <w:pPr>
        <w:jc w:val="both"/>
        <w:rPr>
          <w:rFonts w:ascii="Century Gothic" w:hAnsi="Century Gothic" w:cs="Arial"/>
          <w:b/>
          <w:sz w:val="22"/>
          <w:szCs w:val="22"/>
        </w:rPr>
      </w:pPr>
    </w:p>
    <w:p w14:paraId="4B41719F" w14:textId="28B0BCDA" w:rsidR="009B12DE" w:rsidRDefault="009B12DE" w:rsidP="00E57595">
      <w:pPr>
        <w:jc w:val="both"/>
        <w:rPr>
          <w:rFonts w:ascii="Century Gothic" w:hAnsi="Century Gothic" w:cs="Arial"/>
          <w:b/>
          <w:sz w:val="22"/>
          <w:szCs w:val="22"/>
        </w:rPr>
      </w:pPr>
    </w:p>
    <w:p w14:paraId="1F49B3BD" w14:textId="69812A81" w:rsidR="009B12DE" w:rsidRDefault="009B12DE" w:rsidP="00E57595">
      <w:pPr>
        <w:jc w:val="both"/>
        <w:rPr>
          <w:rFonts w:ascii="Century Gothic" w:hAnsi="Century Gothic" w:cs="Arial"/>
          <w:b/>
          <w:sz w:val="22"/>
          <w:szCs w:val="22"/>
        </w:rPr>
      </w:pPr>
    </w:p>
    <w:p w14:paraId="1B4896B2" w14:textId="4AC9D97E" w:rsidR="009B12DE" w:rsidRDefault="009B12DE" w:rsidP="00E57595">
      <w:pPr>
        <w:jc w:val="both"/>
        <w:rPr>
          <w:rFonts w:ascii="Century Gothic" w:hAnsi="Century Gothic" w:cs="Arial"/>
          <w:b/>
          <w:sz w:val="22"/>
          <w:szCs w:val="22"/>
        </w:rPr>
      </w:pPr>
    </w:p>
    <w:p w14:paraId="3CA9A4C5" w14:textId="5322E5EB" w:rsidR="009B12DE" w:rsidRDefault="009B12DE" w:rsidP="00E57595">
      <w:pPr>
        <w:jc w:val="both"/>
        <w:rPr>
          <w:rFonts w:ascii="Century Gothic" w:hAnsi="Century Gothic" w:cs="Arial"/>
          <w:b/>
          <w:sz w:val="22"/>
          <w:szCs w:val="22"/>
        </w:rPr>
      </w:pPr>
    </w:p>
    <w:p w14:paraId="7CDB45BA" w14:textId="030EFD37" w:rsidR="009B12DE" w:rsidRDefault="009B12DE" w:rsidP="00E57595">
      <w:pPr>
        <w:jc w:val="both"/>
        <w:rPr>
          <w:rFonts w:ascii="Century Gothic" w:hAnsi="Century Gothic" w:cs="Arial"/>
          <w:b/>
          <w:sz w:val="22"/>
          <w:szCs w:val="22"/>
        </w:rPr>
      </w:pPr>
    </w:p>
    <w:p w14:paraId="7114D835" w14:textId="47B7500F" w:rsidR="009B12DE" w:rsidRDefault="009B12DE" w:rsidP="00E57595">
      <w:pPr>
        <w:jc w:val="both"/>
        <w:rPr>
          <w:rFonts w:ascii="Century Gothic" w:hAnsi="Century Gothic" w:cs="Arial"/>
          <w:b/>
          <w:sz w:val="22"/>
          <w:szCs w:val="22"/>
        </w:rPr>
      </w:pPr>
    </w:p>
    <w:p w14:paraId="5E872218" w14:textId="0133D9F9" w:rsidR="009B12DE" w:rsidRDefault="009B12DE" w:rsidP="00E57595">
      <w:pPr>
        <w:jc w:val="both"/>
        <w:rPr>
          <w:rFonts w:ascii="Century Gothic" w:hAnsi="Century Gothic" w:cs="Arial"/>
          <w:b/>
          <w:sz w:val="22"/>
          <w:szCs w:val="22"/>
        </w:rPr>
      </w:pPr>
    </w:p>
    <w:p w14:paraId="3D3DE479" w14:textId="0A72C696" w:rsidR="009B12DE" w:rsidRDefault="009B12DE" w:rsidP="00E57595">
      <w:pPr>
        <w:jc w:val="both"/>
        <w:rPr>
          <w:rFonts w:ascii="Century Gothic" w:hAnsi="Century Gothic" w:cs="Arial"/>
          <w:b/>
          <w:sz w:val="22"/>
          <w:szCs w:val="22"/>
        </w:rPr>
      </w:pPr>
    </w:p>
    <w:p w14:paraId="70391226" w14:textId="587A3BB5" w:rsidR="009B12DE" w:rsidRDefault="009B12DE" w:rsidP="00E57595">
      <w:pPr>
        <w:jc w:val="both"/>
        <w:rPr>
          <w:rFonts w:ascii="Century Gothic" w:hAnsi="Century Gothic" w:cs="Arial"/>
          <w:b/>
          <w:sz w:val="22"/>
          <w:szCs w:val="22"/>
        </w:rPr>
      </w:pPr>
    </w:p>
    <w:p w14:paraId="64516AFD" w14:textId="22825CC1" w:rsidR="009B12DE" w:rsidRDefault="009B12DE" w:rsidP="00E57595">
      <w:pPr>
        <w:jc w:val="both"/>
        <w:rPr>
          <w:rFonts w:ascii="Century Gothic" w:hAnsi="Century Gothic" w:cs="Arial"/>
          <w:b/>
          <w:sz w:val="22"/>
          <w:szCs w:val="22"/>
        </w:rPr>
      </w:pPr>
    </w:p>
    <w:p w14:paraId="7E2D20B7" w14:textId="244D0D0F" w:rsidR="009B12DE" w:rsidRDefault="009B12DE" w:rsidP="00E57595">
      <w:pPr>
        <w:jc w:val="both"/>
        <w:rPr>
          <w:rFonts w:ascii="Century Gothic" w:hAnsi="Century Gothic" w:cs="Arial"/>
          <w:b/>
          <w:sz w:val="22"/>
          <w:szCs w:val="22"/>
        </w:rPr>
      </w:pPr>
    </w:p>
    <w:p w14:paraId="3AFAC69A" w14:textId="31045E8E" w:rsidR="009B12DE" w:rsidRDefault="009B12DE" w:rsidP="00E57595">
      <w:pPr>
        <w:jc w:val="both"/>
        <w:rPr>
          <w:rFonts w:ascii="Century Gothic" w:hAnsi="Century Gothic" w:cs="Arial"/>
          <w:b/>
          <w:sz w:val="22"/>
          <w:szCs w:val="22"/>
        </w:rPr>
      </w:pPr>
    </w:p>
    <w:p w14:paraId="0FAC4149" w14:textId="77777777" w:rsidR="006674D7" w:rsidRDefault="006674D7" w:rsidP="00E57595">
      <w:pPr>
        <w:jc w:val="both"/>
        <w:rPr>
          <w:rFonts w:ascii="Century Gothic" w:hAnsi="Century Gothic" w:cs="Arial"/>
          <w:b/>
          <w:sz w:val="22"/>
          <w:szCs w:val="22"/>
        </w:rPr>
      </w:pPr>
    </w:p>
    <w:p w14:paraId="70FA9960" w14:textId="58DAE379" w:rsidR="009B12DE" w:rsidRDefault="009B12DE" w:rsidP="00E57595">
      <w:pPr>
        <w:jc w:val="both"/>
        <w:rPr>
          <w:rFonts w:ascii="Century Gothic" w:hAnsi="Century Gothic" w:cs="Arial"/>
          <w:b/>
          <w:sz w:val="22"/>
          <w:szCs w:val="22"/>
        </w:rPr>
      </w:pPr>
    </w:p>
    <w:p w14:paraId="60556C80" w14:textId="483058A5" w:rsidR="009B12DE" w:rsidRDefault="009B12DE" w:rsidP="00E57595">
      <w:pPr>
        <w:jc w:val="both"/>
        <w:rPr>
          <w:rFonts w:ascii="Century Gothic" w:hAnsi="Century Gothic" w:cs="Arial"/>
          <w:b/>
          <w:sz w:val="22"/>
          <w:szCs w:val="22"/>
        </w:rPr>
      </w:pPr>
    </w:p>
    <w:p w14:paraId="01C58C3C" w14:textId="12A1888E" w:rsidR="009B12DE" w:rsidRDefault="009B12DE" w:rsidP="00E57595">
      <w:pPr>
        <w:jc w:val="both"/>
        <w:rPr>
          <w:rFonts w:ascii="Century Gothic" w:hAnsi="Century Gothic" w:cs="Arial"/>
          <w:b/>
          <w:sz w:val="22"/>
          <w:szCs w:val="22"/>
        </w:rPr>
      </w:pPr>
    </w:p>
    <w:p w14:paraId="5A007040" w14:textId="5DDF2EB9" w:rsidR="009B12DE" w:rsidRDefault="009B12DE" w:rsidP="00E57595">
      <w:pPr>
        <w:jc w:val="both"/>
        <w:rPr>
          <w:rFonts w:ascii="Century Gothic" w:hAnsi="Century Gothic" w:cs="Arial"/>
          <w:b/>
          <w:sz w:val="22"/>
          <w:szCs w:val="22"/>
        </w:rPr>
      </w:pPr>
    </w:p>
    <w:p w14:paraId="795BCEDB" w14:textId="77777777" w:rsidR="009B12DE" w:rsidRPr="009B12DE" w:rsidRDefault="009B12DE" w:rsidP="009B12DE">
      <w:pPr>
        <w:pStyle w:val="Heading1"/>
        <w:keepNext w:val="0"/>
        <w:widowControl w:val="0"/>
        <w:tabs>
          <w:tab w:val="left" w:pos="907"/>
        </w:tabs>
        <w:autoSpaceDE w:val="0"/>
        <w:autoSpaceDN w:val="0"/>
        <w:spacing w:before="150"/>
        <w:ind w:left="906"/>
        <w:jc w:val="right"/>
        <w:rPr>
          <w:rFonts w:ascii="Century Gothic" w:hAnsi="Century Gothic"/>
          <w:sz w:val="22"/>
          <w:szCs w:val="22"/>
        </w:rPr>
      </w:pPr>
    </w:p>
    <w:p w14:paraId="4EA9D7A5" w14:textId="45D43757" w:rsidR="009B12DE" w:rsidRPr="009B12DE" w:rsidRDefault="009B12DE" w:rsidP="009B12DE">
      <w:pPr>
        <w:pStyle w:val="Heading1"/>
        <w:keepNext w:val="0"/>
        <w:widowControl w:val="0"/>
        <w:numPr>
          <w:ilvl w:val="0"/>
          <w:numId w:val="5"/>
        </w:numPr>
        <w:tabs>
          <w:tab w:val="left" w:pos="907"/>
        </w:tabs>
        <w:autoSpaceDE w:val="0"/>
        <w:autoSpaceDN w:val="0"/>
        <w:spacing w:before="150"/>
        <w:ind w:hanging="361"/>
        <w:jc w:val="left"/>
        <w:rPr>
          <w:rFonts w:ascii="Century Gothic" w:hAnsi="Century Gothic"/>
          <w:sz w:val="24"/>
          <w:szCs w:val="24"/>
        </w:rPr>
      </w:pPr>
      <w:r w:rsidRPr="009B12DE">
        <w:rPr>
          <w:rFonts w:ascii="Century Gothic" w:hAnsi="Century Gothic"/>
          <w:color w:val="2D74B5"/>
          <w:sz w:val="24"/>
          <w:szCs w:val="24"/>
        </w:rPr>
        <w:t>Introduction</w:t>
      </w:r>
    </w:p>
    <w:p w14:paraId="64C2BAD8" w14:textId="77777777" w:rsidR="009B12DE" w:rsidRPr="002F1507" w:rsidRDefault="009B12DE" w:rsidP="009B12DE">
      <w:pPr>
        <w:pStyle w:val="BodyText"/>
        <w:spacing w:before="11"/>
        <w:rPr>
          <w:rFonts w:ascii="Century Gothic" w:hAnsi="Century Gothic"/>
          <w:b/>
          <w:sz w:val="22"/>
          <w:szCs w:val="22"/>
        </w:rPr>
      </w:pPr>
    </w:p>
    <w:p w14:paraId="1D86CB82" w14:textId="77777777" w:rsidR="009B12DE" w:rsidRDefault="009B12DE" w:rsidP="009B12DE">
      <w:pPr>
        <w:pStyle w:val="BodyText"/>
        <w:ind w:left="478" w:right="103"/>
        <w:jc w:val="both"/>
        <w:rPr>
          <w:rFonts w:ascii="Century Gothic" w:hAnsi="Century Gothic"/>
          <w:sz w:val="22"/>
          <w:szCs w:val="22"/>
        </w:rPr>
      </w:pPr>
      <w:r>
        <w:rPr>
          <w:rFonts w:ascii="Century Gothic" w:hAnsi="Century Gothic"/>
          <w:sz w:val="22"/>
          <w:szCs w:val="22"/>
        </w:rPr>
        <w:t>Better Futures Multi-Academy</w:t>
      </w:r>
      <w:r w:rsidRPr="002F1507">
        <w:rPr>
          <w:rFonts w:ascii="Century Gothic" w:hAnsi="Century Gothic"/>
          <w:sz w:val="22"/>
          <w:szCs w:val="22"/>
        </w:rPr>
        <w:t xml:space="preserve"> Trust (</w:t>
      </w:r>
      <w:r>
        <w:rPr>
          <w:rFonts w:ascii="Century Gothic" w:hAnsi="Century Gothic"/>
          <w:sz w:val="22"/>
          <w:szCs w:val="22"/>
        </w:rPr>
        <w:t>BFMAT</w:t>
      </w:r>
      <w:r w:rsidRPr="002F1507">
        <w:rPr>
          <w:rFonts w:ascii="Century Gothic" w:hAnsi="Century Gothic"/>
          <w:sz w:val="22"/>
          <w:szCs w:val="22"/>
        </w:rPr>
        <w:t>) is required by law to publish an annual gender pay gap report.</w:t>
      </w:r>
    </w:p>
    <w:p w14:paraId="573A084D" w14:textId="77777777" w:rsidR="009B12DE" w:rsidRDefault="009B12DE" w:rsidP="009B12DE">
      <w:pPr>
        <w:pStyle w:val="BodyText"/>
        <w:ind w:left="478" w:right="109"/>
        <w:jc w:val="both"/>
        <w:rPr>
          <w:rFonts w:ascii="Century Gothic" w:hAnsi="Century Gothic"/>
          <w:sz w:val="22"/>
          <w:szCs w:val="22"/>
        </w:rPr>
      </w:pPr>
    </w:p>
    <w:p w14:paraId="685D5626" w14:textId="77777777" w:rsidR="009B12DE" w:rsidRPr="002F1507" w:rsidRDefault="009B12DE" w:rsidP="009B12DE">
      <w:pPr>
        <w:pStyle w:val="BodyText"/>
        <w:ind w:left="478" w:right="109"/>
        <w:jc w:val="both"/>
        <w:rPr>
          <w:rFonts w:ascii="Century Gothic" w:hAnsi="Century Gothic"/>
          <w:sz w:val="22"/>
          <w:szCs w:val="22"/>
        </w:rPr>
      </w:pPr>
      <w:r>
        <w:rPr>
          <w:rFonts w:ascii="Century Gothic" w:hAnsi="Century Gothic"/>
          <w:sz w:val="22"/>
          <w:szCs w:val="22"/>
        </w:rPr>
        <w:t>BFMAT</w:t>
      </w:r>
      <w:r w:rsidRPr="002F1507">
        <w:rPr>
          <w:rFonts w:ascii="Century Gothic" w:hAnsi="Century Gothic"/>
          <w:sz w:val="22"/>
          <w:szCs w:val="22"/>
        </w:rPr>
        <w:t xml:space="preserve"> is an equal opportunities employer. We support the fair treatment of all staff, irrespective of gender through our transparent recruitment, pay, and professional development processes.</w:t>
      </w:r>
    </w:p>
    <w:p w14:paraId="5FBEEA63" w14:textId="77777777" w:rsidR="009B12DE" w:rsidRPr="002F1507" w:rsidRDefault="009B12DE" w:rsidP="009B12DE">
      <w:pPr>
        <w:pStyle w:val="BodyText"/>
        <w:spacing w:before="2"/>
        <w:rPr>
          <w:rFonts w:ascii="Century Gothic" w:hAnsi="Century Gothic"/>
          <w:sz w:val="22"/>
          <w:szCs w:val="22"/>
        </w:rPr>
      </w:pPr>
    </w:p>
    <w:p w14:paraId="3A32B819" w14:textId="77777777" w:rsidR="009B12DE" w:rsidRPr="002F1507" w:rsidRDefault="009B12DE" w:rsidP="009B12DE">
      <w:pPr>
        <w:pStyle w:val="BodyText"/>
        <w:ind w:left="478" w:right="98"/>
        <w:jc w:val="both"/>
        <w:rPr>
          <w:rFonts w:ascii="Century Gothic" w:hAnsi="Century Gothic"/>
          <w:sz w:val="22"/>
          <w:szCs w:val="22"/>
        </w:rPr>
      </w:pPr>
      <w:r w:rsidRPr="002F1507">
        <w:rPr>
          <w:rFonts w:ascii="Century Gothic" w:hAnsi="Century Gothic"/>
          <w:sz w:val="22"/>
          <w:szCs w:val="22"/>
        </w:rPr>
        <w:t>We use pay scales for all teaching staff. These are aligned with the minimum and maximum of each pay scale</w:t>
      </w:r>
      <w:r>
        <w:rPr>
          <w:rFonts w:ascii="Century Gothic" w:hAnsi="Century Gothic"/>
          <w:sz w:val="22"/>
          <w:szCs w:val="22"/>
        </w:rPr>
        <w:t xml:space="preserve"> </w:t>
      </w:r>
      <w:r w:rsidRPr="002F1507">
        <w:rPr>
          <w:rFonts w:ascii="Century Gothic" w:hAnsi="Century Gothic"/>
          <w:sz w:val="22"/>
          <w:szCs w:val="22"/>
        </w:rPr>
        <w:t>within Teachers Pay and Conditions Document, which is reviewed annually. Non-teaching staff pay scales are set by National Joint Council for Local Government Services. We apply these pay scales within our academies</w:t>
      </w:r>
      <w:r>
        <w:rPr>
          <w:rFonts w:ascii="Century Gothic" w:hAnsi="Century Gothic"/>
          <w:sz w:val="22"/>
          <w:szCs w:val="22"/>
        </w:rPr>
        <w:t xml:space="preserve">. </w:t>
      </w:r>
      <w:r w:rsidRPr="002F1507">
        <w:rPr>
          <w:rFonts w:ascii="Century Gothic" w:hAnsi="Century Gothic"/>
          <w:sz w:val="22"/>
          <w:szCs w:val="22"/>
        </w:rPr>
        <w:t>Staff can progress through the pay scales based on their performance following a robust process, meaning that earnings are determined by performance outcomes irrespective of gender.</w:t>
      </w:r>
    </w:p>
    <w:p w14:paraId="46CD72A5" w14:textId="77777777" w:rsidR="009B12DE" w:rsidRDefault="009B12DE" w:rsidP="009B12DE">
      <w:pPr>
        <w:pStyle w:val="BodyText"/>
        <w:spacing w:line="480" w:lineRule="auto"/>
        <w:ind w:right="1468"/>
        <w:jc w:val="both"/>
        <w:rPr>
          <w:rFonts w:ascii="Century Gothic" w:hAnsi="Century Gothic"/>
          <w:sz w:val="22"/>
          <w:szCs w:val="22"/>
        </w:rPr>
      </w:pPr>
    </w:p>
    <w:p w14:paraId="52B3FC6E" w14:textId="52E9F215" w:rsidR="009B12DE" w:rsidRDefault="009B12DE" w:rsidP="006674D7">
      <w:pPr>
        <w:pStyle w:val="BodyText"/>
        <w:ind w:left="478" w:right="1468"/>
        <w:jc w:val="both"/>
        <w:rPr>
          <w:rFonts w:ascii="Century Gothic" w:hAnsi="Century Gothic"/>
          <w:sz w:val="22"/>
          <w:szCs w:val="22"/>
        </w:rPr>
      </w:pPr>
      <w:r w:rsidRPr="002F1507">
        <w:rPr>
          <w:rFonts w:ascii="Century Gothic" w:hAnsi="Century Gothic"/>
          <w:sz w:val="22"/>
          <w:szCs w:val="22"/>
        </w:rPr>
        <w:t xml:space="preserve">This is the Gender Pay Gap report for the snapshot date of </w:t>
      </w:r>
      <w:r w:rsidRPr="00466E5F">
        <w:rPr>
          <w:rFonts w:ascii="Century Gothic" w:eastAsia="Times New Roman" w:hAnsi="Century Gothic" w:cs="Times New Roman"/>
          <w:b/>
          <w:color w:val="006FC0"/>
          <w:szCs w:val="20"/>
          <w:lang w:val="en-GB"/>
        </w:rPr>
        <w:t>31st March 202</w:t>
      </w:r>
      <w:r w:rsidR="002A6E83">
        <w:rPr>
          <w:rFonts w:ascii="Century Gothic" w:eastAsia="Times New Roman" w:hAnsi="Century Gothic" w:cs="Times New Roman"/>
          <w:b/>
          <w:color w:val="006FC0"/>
          <w:szCs w:val="20"/>
          <w:lang w:val="en-GB"/>
        </w:rPr>
        <w:t>4</w:t>
      </w:r>
      <w:r w:rsidRPr="00466E5F">
        <w:rPr>
          <w:rFonts w:ascii="Century Gothic" w:eastAsia="Times New Roman" w:hAnsi="Century Gothic" w:cs="Times New Roman"/>
          <w:b/>
          <w:color w:val="006FC0"/>
          <w:szCs w:val="20"/>
          <w:lang w:val="en-GB"/>
        </w:rPr>
        <w:t xml:space="preserve">.  </w:t>
      </w:r>
    </w:p>
    <w:p w14:paraId="1E19A126" w14:textId="77777777" w:rsidR="006674D7" w:rsidRDefault="006674D7" w:rsidP="006674D7">
      <w:pPr>
        <w:pStyle w:val="BodyText"/>
        <w:ind w:left="478" w:right="1468"/>
        <w:jc w:val="both"/>
        <w:rPr>
          <w:rFonts w:ascii="Century Gothic" w:hAnsi="Century Gothic"/>
          <w:sz w:val="22"/>
          <w:szCs w:val="22"/>
        </w:rPr>
      </w:pPr>
    </w:p>
    <w:p w14:paraId="5DE7F5A8" w14:textId="302426A1" w:rsidR="009B12DE" w:rsidRDefault="009B12DE" w:rsidP="009B12DE">
      <w:pPr>
        <w:pStyle w:val="BodyText"/>
        <w:spacing w:line="480" w:lineRule="auto"/>
        <w:ind w:left="478" w:right="1468"/>
        <w:jc w:val="both"/>
        <w:rPr>
          <w:rFonts w:ascii="Century Gothic" w:hAnsi="Century Gothic"/>
          <w:sz w:val="22"/>
          <w:szCs w:val="22"/>
        </w:rPr>
      </w:pPr>
      <w:r>
        <w:rPr>
          <w:rFonts w:ascii="Century Gothic" w:hAnsi="Century Gothic"/>
          <w:sz w:val="22"/>
          <w:szCs w:val="22"/>
        </w:rPr>
        <w:t>The report covers</w:t>
      </w:r>
      <w:r w:rsidRPr="00466E5F">
        <w:rPr>
          <w:rFonts w:ascii="Century Gothic" w:eastAsia="Times New Roman" w:hAnsi="Century Gothic" w:cs="Times New Roman"/>
          <w:b/>
          <w:color w:val="006FC0"/>
          <w:szCs w:val="20"/>
          <w:lang w:val="en-GB"/>
        </w:rPr>
        <w:t xml:space="preserve"> 4</w:t>
      </w:r>
      <w:r w:rsidR="00435F04">
        <w:rPr>
          <w:rFonts w:ascii="Century Gothic" w:eastAsia="Times New Roman" w:hAnsi="Century Gothic" w:cs="Times New Roman"/>
          <w:b/>
          <w:color w:val="006FC0"/>
          <w:szCs w:val="20"/>
          <w:lang w:val="en-GB"/>
        </w:rPr>
        <w:t>9</w:t>
      </w:r>
      <w:r w:rsidR="002A6E83">
        <w:rPr>
          <w:rFonts w:ascii="Century Gothic" w:eastAsia="Times New Roman" w:hAnsi="Century Gothic" w:cs="Times New Roman"/>
          <w:b/>
          <w:color w:val="006FC0"/>
          <w:szCs w:val="20"/>
          <w:lang w:val="en-GB"/>
        </w:rPr>
        <w:t>6</w:t>
      </w:r>
      <w:r>
        <w:rPr>
          <w:rFonts w:ascii="Century Gothic" w:hAnsi="Century Gothic"/>
          <w:sz w:val="22"/>
          <w:szCs w:val="22"/>
        </w:rPr>
        <w:t xml:space="preserve"> members of staff.  </w:t>
      </w:r>
    </w:p>
    <w:p w14:paraId="26C804E0" w14:textId="77777777" w:rsidR="009B12DE" w:rsidRDefault="009B12DE" w:rsidP="009B12DE">
      <w:pPr>
        <w:pStyle w:val="BodyText"/>
        <w:spacing w:after="240"/>
        <w:ind w:left="478" w:right="1468"/>
        <w:jc w:val="both"/>
        <w:rPr>
          <w:rFonts w:ascii="Century Gothic" w:hAnsi="Century Gothic"/>
          <w:sz w:val="22"/>
          <w:szCs w:val="22"/>
        </w:rPr>
      </w:pPr>
      <w:r w:rsidRPr="002F1507">
        <w:rPr>
          <w:rFonts w:ascii="Century Gothic" w:hAnsi="Century Gothic"/>
          <w:sz w:val="22"/>
          <w:szCs w:val="22"/>
        </w:rPr>
        <w:t xml:space="preserve">The percentage split of male and female employees is: </w:t>
      </w:r>
    </w:p>
    <w:p w14:paraId="626FCCDB" w14:textId="6BEB2A2A" w:rsidR="009B12DE" w:rsidRDefault="005D4FAA" w:rsidP="009B12DE">
      <w:pPr>
        <w:pStyle w:val="BodyText"/>
        <w:spacing w:after="240"/>
        <w:ind w:left="1440" w:right="1468"/>
        <w:jc w:val="both"/>
        <w:rPr>
          <w:rFonts w:ascii="Century Gothic" w:hAnsi="Century Gothic"/>
          <w:sz w:val="22"/>
          <w:szCs w:val="22"/>
        </w:rPr>
      </w:pPr>
      <w:r w:rsidRPr="00466E5F">
        <w:rPr>
          <w:rFonts w:ascii="Century Gothic" w:eastAsia="Times New Roman" w:hAnsi="Century Gothic" w:cs="Times New Roman"/>
          <w:b/>
          <w:color w:val="006FC0"/>
          <w:szCs w:val="20"/>
          <w:lang w:val="en-GB"/>
        </w:rPr>
        <w:t xml:space="preserve">70.0 </w:t>
      </w:r>
      <w:r w:rsidR="009B12DE" w:rsidRPr="00466E5F">
        <w:rPr>
          <w:rFonts w:ascii="Century Gothic" w:eastAsia="Times New Roman" w:hAnsi="Century Gothic" w:cs="Times New Roman"/>
          <w:b/>
          <w:color w:val="006FC0"/>
          <w:szCs w:val="20"/>
          <w:lang w:val="en-GB"/>
        </w:rPr>
        <w:t>%</w:t>
      </w:r>
      <w:r w:rsidR="009B12DE" w:rsidRPr="002F1507">
        <w:rPr>
          <w:rFonts w:ascii="Century Gothic" w:hAnsi="Century Gothic"/>
          <w:sz w:val="22"/>
          <w:szCs w:val="22"/>
        </w:rPr>
        <w:t xml:space="preserve"> female, </w:t>
      </w:r>
    </w:p>
    <w:p w14:paraId="7612D256" w14:textId="57D3248E" w:rsidR="009B12DE" w:rsidRDefault="009B12DE" w:rsidP="009B12DE">
      <w:pPr>
        <w:pStyle w:val="BodyText"/>
        <w:spacing w:after="240"/>
        <w:ind w:left="1440" w:right="1468"/>
        <w:jc w:val="both"/>
        <w:rPr>
          <w:rFonts w:ascii="Century Gothic" w:hAnsi="Century Gothic"/>
          <w:sz w:val="22"/>
          <w:szCs w:val="22"/>
        </w:rPr>
      </w:pPr>
      <w:r w:rsidRPr="00466E5F">
        <w:rPr>
          <w:rFonts w:ascii="Century Gothic" w:eastAsia="Times New Roman" w:hAnsi="Century Gothic" w:cs="Times New Roman"/>
          <w:b/>
          <w:color w:val="006FC0"/>
          <w:szCs w:val="20"/>
          <w:lang w:val="en-GB"/>
        </w:rPr>
        <w:t>30.</w:t>
      </w:r>
      <w:r w:rsidR="005D4FAA" w:rsidRPr="00466E5F">
        <w:rPr>
          <w:rFonts w:ascii="Century Gothic" w:eastAsia="Times New Roman" w:hAnsi="Century Gothic" w:cs="Times New Roman"/>
          <w:b/>
          <w:color w:val="006FC0"/>
          <w:szCs w:val="20"/>
          <w:lang w:val="en-GB"/>
        </w:rPr>
        <w:t>0</w:t>
      </w:r>
      <w:r w:rsidRPr="00466E5F">
        <w:rPr>
          <w:rFonts w:ascii="Century Gothic" w:eastAsia="Times New Roman" w:hAnsi="Century Gothic" w:cs="Times New Roman"/>
          <w:b/>
          <w:color w:val="006FC0"/>
          <w:szCs w:val="20"/>
          <w:lang w:val="en-GB"/>
        </w:rPr>
        <w:t>%</w:t>
      </w:r>
      <w:r>
        <w:rPr>
          <w:rFonts w:ascii="Century Gothic" w:hAnsi="Century Gothic"/>
          <w:sz w:val="22"/>
          <w:szCs w:val="22"/>
        </w:rPr>
        <w:t xml:space="preserve"> </w:t>
      </w:r>
      <w:r w:rsidRPr="002F1507">
        <w:rPr>
          <w:rFonts w:ascii="Century Gothic" w:hAnsi="Century Gothic"/>
          <w:sz w:val="22"/>
          <w:szCs w:val="22"/>
        </w:rPr>
        <w:t xml:space="preserve">male. </w:t>
      </w:r>
    </w:p>
    <w:p w14:paraId="4B1C12D8" w14:textId="77777777" w:rsidR="009B12DE" w:rsidRPr="002F1507" w:rsidRDefault="009B12DE" w:rsidP="009B12DE">
      <w:pPr>
        <w:pStyle w:val="BodyText"/>
        <w:spacing w:line="480" w:lineRule="auto"/>
        <w:ind w:left="478" w:right="1468"/>
        <w:jc w:val="both"/>
        <w:rPr>
          <w:rFonts w:ascii="Century Gothic" w:hAnsi="Century Gothic"/>
          <w:sz w:val="22"/>
          <w:szCs w:val="22"/>
        </w:rPr>
      </w:pPr>
    </w:p>
    <w:p w14:paraId="0F0BCE00" w14:textId="77777777" w:rsidR="009B12DE" w:rsidRDefault="009B12DE" w:rsidP="009B12DE">
      <w:pPr>
        <w:pStyle w:val="BodyText"/>
        <w:rPr>
          <w:sz w:val="20"/>
        </w:rPr>
      </w:pPr>
    </w:p>
    <w:p w14:paraId="52EA8E32" w14:textId="77777777" w:rsidR="009B12DE" w:rsidRDefault="009B12DE" w:rsidP="009B12DE">
      <w:pPr>
        <w:pStyle w:val="BodyText"/>
        <w:rPr>
          <w:sz w:val="20"/>
        </w:rPr>
      </w:pPr>
    </w:p>
    <w:p w14:paraId="0B5DF6D9" w14:textId="2206573B" w:rsidR="009B12DE" w:rsidRDefault="009B12DE" w:rsidP="009B12DE">
      <w:pPr>
        <w:pStyle w:val="BodyText"/>
        <w:spacing w:before="11"/>
        <w:rPr>
          <w:sz w:val="17"/>
        </w:rPr>
      </w:pPr>
    </w:p>
    <w:p w14:paraId="684D303F" w14:textId="7440DB77" w:rsidR="009B12DE" w:rsidRDefault="009B12DE" w:rsidP="009B12DE">
      <w:pPr>
        <w:pStyle w:val="BodyText"/>
        <w:spacing w:before="11"/>
        <w:rPr>
          <w:sz w:val="17"/>
        </w:rPr>
      </w:pPr>
    </w:p>
    <w:p w14:paraId="77306AB9" w14:textId="177B3D36" w:rsidR="009B12DE" w:rsidRDefault="009B12DE" w:rsidP="009B12DE">
      <w:pPr>
        <w:pStyle w:val="BodyText"/>
        <w:spacing w:before="11"/>
        <w:rPr>
          <w:sz w:val="17"/>
        </w:rPr>
      </w:pPr>
    </w:p>
    <w:p w14:paraId="6DE7F9C9" w14:textId="7766848F" w:rsidR="009B12DE" w:rsidRDefault="009B12DE" w:rsidP="009B12DE">
      <w:pPr>
        <w:pStyle w:val="BodyText"/>
        <w:spacing w:before="11"/>
        <w:rPr>
          <w:sz w:val="17"/>
        </w:rPr>
      </w:pPr>
    </w:p>
    <w:p w14:paraId="32F85B8F" w14:textId="5847F77C" w:rsidR="009B12DE" w:rsidRDefault="009B12DE" w:rsidP="009B12DE">
      <w:pPr>
        <w:pStyle w:val="BodyText"/>
        <w:spacing w:before="11"/>
        <w:rPr>
          <w:sz w:val="17"/>
        </w:rPr>
      </w:pPr>
    </w:p>
    <w:p w14:paraId="5BEE313A" w14:textId="5BE36E76" w:rsidR="006674D7" w:rsidRDefault="006674D7" w:rsidP="009B12DE">
      <w:pPr>
        <w:pStyle w:val="BodyText"/>
        <w:spacing w:before="11"/>
        <w:rPr>
          <w:sz w:val="17"/>
        </w:rPr>
      </w:pPr>
    </w:p>
    <w:p w14:paraId="3F119064" w14:textId="1FDD18E8" w:rsidR="006674D7" w:rsidRDefault="006674D7" w:rsidP="009B12DE">
      <w:pPr>
        <w:pStyle w:val="BodyText"/>
        <w:spacing w:before="11"/>
        <w:rPr>
          <w:sz w:val="17"/>
        </w:rPr>
      </w:pPr>
    </w:p>
    <w:p w14:paraId="00114830" w14:textId="77777777" w:rsidR="006674D7" w:rsidRDefault="006674D7" w:rsidP="009B12DE">
      <w:pPr>
        <w:pStyle w:val="BodyText"/>
        <w:spacing w:before="11"/>
        <w:rPr>
          <w:sz w:val="17"/>
        </w:rPr>
      </w:pPr>
    </w:p>
    <w:p w14:paraId="5137E1FD" w14:textId="67E5768F" w:rsidR="009B12DE" w:rsidRDefault="009B12DE" w:rsidP="009B12DE">
      <w:pPr>
        <w:pStyle w:val="BodyText"/>
        <w:spacing w:before="11"/>
        <w:rPr>
          <w:sz w:val="17"/>
        </w:rPr>
      </w:pPr>
    </w:p>
    <w:p w14:paraId="69022902" w14:textId="12EC227F" w:rsidR="009B12DE" w:rsidRDefault="009B12DE" w:rsidP="009B12DE">
      <w:pPr>
        <w:pStyle w:val="BodyText"/>
        <w:spacing w:before="11"/>
        <w:rPr>
          <w:sz w:val="17"/>
        </w:rPr>
      </w:pPr>
    </w:p>
    <w:p w14:paraId="07F423C7" w14:textId="1B1E9CA4" w:rsidR="009B12DE" w:rsidRDefault="009B12DE" w:rsidP="009B12DE">
      <w:pPr>
        <w:pStyle w:val="BodyText"/>
        <w:spacing w:before="11"/>
        <w:rPr>
          <w:sz w:val="17"/>
        </w:rPr>
      </w:pPr>
    </w:p>
    <w:p w14:paraId="006C0A96" w14:textId="4BDEC926" w:rsidR="000230FE" w:rsidRDefault="000230FE" w:rsidP="009B12DE">
      <w:pPr>
        <w:pStyle w:val="BodyText"/>
        <w:spacing w:before="11"/>
        <w:rPr>
          <w:sz w:val="17"/>
        </w:rPr>
      </w:pPr>
    </w:p>
    <w:p w14:paraId="3CD79A89" w14:textId="77777777" w:rsidR="000230FE" w:rsidRDefault="000230FE" w:rsidP="009B12DE">
      <w:pPr>
        <w:pStyle w:val="BodyText"/>
        <w:spacing w:before="11"/>
        <w:rPr>
          <w:sz w:val="17"/>
        </w:rPr>
      </w:pPr>
    </w:p>
    <w:p w14:paraId="638D9B7A" w14:textId="4A9285FD" w:rsidR="009B12DE" w:rsidRDefault="009B12DE" w:rsidP="009B12DE">
      <w:pPr>
        <w:pStyle w:val="BodyText"/>
        <w:spacing w:before="11"/>
        <w:rPr>
          <w:sz w:val="17"/>
        </w:rPr>
      </w:pPr>
    </w:p>
    <w:p w14:paraId="722B1F9C" w14:textId="7B68A8AB" w:rsidR="009B12DE" w:rsidRDefault="009B12DE" w:rsidP="009B12DE">
      <w:pPr>
        <w:pStyle w:val="BodyText"/>
        <w:spacing w:before="11"/>
        <w:rPr>
          <w:sz w:val="17"/>
        </w:rPr>
      </w:pPr>
    </w:p>
    <w:p w14:paraId="791B91D7" w14:textId="31B6F0B3" w:rsidR="009B12DE" w:rsidRDefault="009B12DE" w:rsidP="009B12DE">
      <w:pPr>
        <w:pStyle w:val="BodyText"/>
        <w:spacing w:before="11"/>
        <w:rPr>
          <w:sz w:val="17"/>
        </w:rPr>
      </w:pPr>
    </w:p>
    <w:p w14:paraId="523CC5CA" w14:textId="007CAA28" w:rsidR="009B12DE" w:rsidRDefault="009B12DE" w:rsidP="009B12DE">
      <w:pPr>
        <w:pStyle w:val="BodyText"/>
        <w:spacing w:before="11"/>
        <w:rPr>
          <w:sz w:val="17"/>
        </w:rPr>
      </w:pPr>
    </w:p>
    <w:p w14:paraId="499876DB" w14:textId="77777777" w:rsidR="009B12DE" w:rsidRDefault="009B12DE" w:rsidP="009B12DE">
      <w:pPr>
        <w:pStyle w:val="BodyText"/>
        <w:spacing w:before="11"/>
        <w:rPr>
          <w:sz w:val="17"/>
        </w:rPr>
      </w:pPr>
    </w:p>
    <w:p w14:paraId="487DED53" w14:textId="77777777" w:rsidR="009B12DE" w:rsidRPr="009B12DE" w:rsidRDefault="009B12DE" w:rsidP="009B12DE">
      <w:pPr>
        <w:pStyle w:val="Heading1"/>
        <w:keepNext w:val="0"/>
        <w:widowControl w:val="0"/>
        <w:tabs>
          <w:tab w:val="left" w:pos="905"/>
          <w:tab w:val="left" w:pos="907"/>
        </w:tabs>
        <w:autoSpaceDE w:val="0"/>
        <w:autoSpaceDN w:val="0"/>
        <w:spacing w:before="150"/>
        <w:ind w:left="906"/>
        <w:jc w:val="right"/>
        <w:rPr>
          <w:rFonts w:ascii="Century Gothic" w:hAnsi="Century Gothic"/>
        </w:rPr>
      </w:pPr>
      <w:bookmarkStart w:id="0" w:name="_bookmark1"/>
      <w:bookmarkEnd w:id="0"/>
    </w:p>
    <w:p w14:paraId="077EF7C3" w14:textId="57573AF7" w:rsidR="009B12DE" w:rsidRPr="009B12DE" w:rsidRDefault="009B12DE" w:rsidP="009B12DE">
      <w:pPr>
        <w:pStyle w:val="Heading1"/>
        <w:keepNext w:val="0"/>
        <w:widowControl w:val="0"/>
        <w:numPr>
          <w:ilvl w:val="0"/>
          <w:numId w:val="5"/>
        </w:numPr>
        <w:tabs>
          <w:tab w:val="left" w:pos="905"/>
          <w:tab w:val="left" w:pos="907"/>
        </w:tabs>
        <w:autoSpaceDE w:val="0"/>
        <w:autoSpaceDN w:val="0"/>
        <w:spacing w:before="150"/>
        <w:ind w:hanging="429"/>
        <w:jc w:val="left"/>
        <w:rPr>
          <w:rFonts w:ascii="Century Gothic" w:hAnsi="Century Gothic"/>
          <w:sz w:val="24"/>
          <w:szCs w:val="24"/>
        </w:rPr>
      </w:pPr>
      <w:r w:rsidRPr="009B12DE">
        <w:rPr>
          <w:rFonts w:ascii="Century Gothic" w:hAnsi="Century Gothic"/>
          <w:color w:val="2D74B5"/>
          <w:sz w:val="24"/>
          <w:szCs w:val="24"/>
        </w:rPr>
        <w:t>Mean &amp; Median</w:t>
      </w:r>
      <w:r w:rsidRPr="009B12DE">
        <w:rPr>
          <w:rFonts w:ascii="Century Gothic" w:hAnsi="Century Gothic"/>
          <w:color w:val="2D74B5"/>
          <w:spacing w:val="1"/>
          <w:sz w:val="24"/>
          <w:szCs w:val="24"/>
        </w:rPr>
        <w:t xml:space="preserve"> </w:t>
      </w:r>
      <w:r w:rsidRPr="009B12DE">
        <w:rPr>
          <w:rFonts w:ascii="Century Gothic" w:hAnsi="Century Gothic"/>
          <w:color w:val="2D74B5"/>
          <w:sz w:val="24"/>
          <w:szCs w:val="24"/>
        </w:rPr>
        <w:t>Outcomes</w:t>
      </w:r>
    </w:p>
    <w:p w14:paraId="2CF3A18C" w14:textId="77777777" w:rsidR="009B12DE" w:rsidRPr="002F1507" w:rsidRDefault="009B12DE" w:rsidP="009B12DE">
      <w:pPr>
        <w:pStyle w:val="BodyText"/>
        <w:rPr>
          <w:rFonts w:ascii="Century Gothic" w:hAnsi="Century Gothic"/>
          <w:b/>
        </w:rPr>
      </w:pPr>
    </w:p>
    <w:p w14:paraId="19894A0F" w14:textId="77777777" w:rsidR="009B12DE" w:rsidRPr="002F1507" w:rsidRDefault="009B12DE" w:rsidP="009B12DE">
      <w:pPr>
        <w:pStyle w:val="BodyText"/>
        <w:spacing w:before="10"/>
        <w:rPr>
          <w:rFonts w:ascii="Century Gothic" w:hAnsi="Century Gothic"/>
          <w:b/>
          <w:sz w:val="23"/>
        </w:rPr>
      </w:pPr>
    </w:p>
    <w:p w14:paraId="42EADEE4" w14:textId="7D4080C3" w:rsidR="009B12DE" w:rsidRPr="00077C8D" w:rsidRDefault="009B12DE" w:rsidP="009B12DE">
      <w:pPr>
        <w:pStyle w:val="ListParagraph"/>
        <w:widowControl w:val="0"/>
        <w:numPr>
          <w:ilvl w:val="1"/>
          <w:numId w:val="5"/>
        </w:numPr>
        <w:tabs>
          <w:tab w:val="left" w:pos="1918"/>
          <w:tab w:val="left" w:pos="1919"/>
        </w:tabs>
        <w:autoSpaceDE w:val="0"/>
        <w:autoSpaceDN w:val="0"/>
        <w:spacing w:before="1"/>
        <w:ind w:hanging="361"/>
        <w:contextualSpacing w:val="0"/>
        <w:rPr>
          <w:rFonts w:ascii="Century Gothic" w:hAnsi="Century Gothic"/>
          <w:sz w:val="24"/>
        </w:rPr>
      </w:pPr>
      <w:r w:rsidRPr="002F1507">
        <w:rPr>
          <w:rFonts w:ascii="Century Gothic" w:hAnsi="Century Gothic"/>
          <w:sz w:val="24"/>
        </w:rPr>
        <w:t xml:space="preserve">The </w:t>
      </w:r>
      <w:r w:rsidRPr="002F1507">
        <w:rPr>
          <w:rFonts w:ascii="Century Gothic" w:hAnsi="Century Gothic"/>
          <w:color w:val="006FC0"/>
          <w:sz w:val="24"/>
        </w:rPr>
        <w:t xml:space="preserve">mean </w:t>
      </w:r>
      <w:r w:rsidRPr="002F1507">
        <w:rPr>
          <w:rFonts w:ascii="Century Gothic" w:hAnsi="Century Gothic"/>
          <w:sz w:val="24"/>
        </w:rPr>
        <w:t>gender pay gap for hourly pay is</w:t>
      </w:r>
      <w:r w:rsidRPr="002F1507">
        <w:rPr>
          <w:rFonts w:ascii="Century Gothic" w:hAnsi="Century Gothic"/>
          <w:spacing w:val="-6"/>
          <w:sz w:val="24"/>
        </w:rPr>
        <w:t xml:space="preserve"> </w:t>
      </w:r>
      <w:r w:rsidRPr="002F1507">
        <w:rPr>
          <w:rFonts w:ascii="Century Gothic" w:hAnsi="Century Gothic"/>
          <w:b/>
          <w:color w:val="006FC0"/>
          <w:sz w:val="24"/>
        </w:rPr>
        <w:t>1</w:t>
      </w:r>
      <w:r w:rsidR="00C07975">
        <w:rPr>
          <w:rFonts w:ascii="Century Gothic" w:hAnsi="Century Gothic"/>
          <w:b/>
          <w:color w:val="006FC0"/>
          <w:sz w:val="24"/>
        </w:rPr>
        <w:t>1.28</w:t>
      </w:r>
      <w:r w:rsidRPr="002F1507">
        <w:rPr>
          <w:rFonts w:ascii="Century Gothic" w:hAnsi="Century Gothic"/>
          <w:b/>
          <w:color w:val="006FC0"/>
          <w:sz w:val="24"/>
        </w:rPr>
        <w:t>%</w:t>
      </w:r>
      <w:r w:rsidRPr="002F1507">
        <w:rPr>
          <w:rFonts w:ascii="Century Gothic" w:hAnsi="Century Gothic"/>
          <w:color w:val="006FC0"/>
          <w:sz w:val="24"/>
        </w:rPr>
        <w:t>.</w:t>
      </w:r>
    </w:p>
    <w:p w14:paraId="4775A892" w14:textId="469B7648" w:rsidR="009B12DE" w:rsidRDefault="009B12DE" w:rsidP="009B12DE">
      <w:pPr>
        <w:pStyle w:val="ListParagraph"/>
        <w:widowControl w:val="0"/>
        <w:numPr>
          <w:ilvl w:val="2"/>
          <w:numId w:val="5"/>
        </w:numPr>
        <w:tabs>
          <w:tab w:val="left" w:pos="1918"/>
          <w:tab w:val="left" w:pos="1919"/>
        </w:tabs>
        <w:autoSpaceDE w:val="0"/>
        <w:autoSpaceDN w:val="0"/>
        <w:spacing w:before="1"/>
        <w:contextualSpacing w:val="0"/>
        <w:rPr>
          <w:rFonts w:ascii="Century Gothic" w:hAnsi="Century Gothic"/>
          <w:sz w:val="24"/>
        </w:rPr>
      </w:pPr>
      <w:r>
        <w:rPr>
          <w:rFonts w:ascii="Century Gothic" w:hAnsi="Century Gothic"/>
          <w:sz w:val="24"/>
        </w:rPr>
        <w:t xml:space="preserve">Mean hourly rate for men </w:t>
      </w:r>
      <w:r w:rsidRPr="00077C8D">
        <w:rPr>
          <w:rFonts w:ascii="Century Gothic" w:hAnsi="Century Gothic"/>
          <w:b/>
          <w:color w:val="006FC0"/>
          <w:sz w:val="24"/>
        </w:rPr>
        <w:t>£2</w:t>
      </w:r>
      <w:r w:rsidR="00044608">
        <w:rPr>
          <w:rFonts w:ascii="Century Gothic" w:hAnsi="Century Gothic"/>
          <w:b/>
          <w:color w:val="006FC0"/>
          <w:sz w:val="24"/>
        </w:rPr>
        <w:t>7.</w:t>
      </w:r>
      <w:r w:rsidR="00C07975">
        <w:rPr>
          <w:rFonts w:ascii="Century Gothic" w:hAnsi="Century Gothic"/>
          <w:b/>
          <w:color w:val="006FC0"/>
          <w:sz w:val="24"/>
        </w:rPr>
        <w:t>87</w:t>
      </w:r>
    </w:p>
    <w:p w14:paraId="07D0B76B" w14:textId="0E4A1F0B" w:rsidR="009B12DE" w:rsidRDefault="009B12DE" w:rsidP="009B12DE">
      <w:pPr>
        <w:pStyle w:val="ListParagraph"/>
        <w:widowControl w:val="0"/>
        <w:numPr>
          <w:ilvl w:val="2"/>
          <w:numId w:val="5"/>
        </w:numPr>
        <w:tabs>
          <w:tab w:val="left" w:pos="1918"/>
          <w:tab w:val="left" w:pos="1919"/>
        </w:tabs>
        <w:autoSpaceDE w:val="0"/>
        <w:autoSpaceDN w:val="0"/>
        <w:spacing w:before="1"/>
        <w:contextualSpacing w:val="0"/>
        <w:rPr>
          <w:rFonts w:ascii="Century Gothic" w:hAnsi="Century Gothic"/>
          <w:sz w:val="24"/>
        </w:rPr>
      </w:pPr>
      <w:r>
        <w:rPr>
          <w:rFonts w:ascii="Century Gothic" w:hAnsi="Century Gothic"/>
          <w:sz w:val="24"/>
        </w:rPr>
        <w:t xml:space="preserve">Mean hourly rate for women </w:t>
      </w:r>
      <w:r w:rsidRPr="00077C8D">
        <w:rPr>
          <w:rFonts w:ascii="Century Gothic" w:hAnsi="Century Gothic"/>
          <w:b/>
          <w:color w:val="006FC0"/>
          <w:sz w:val="24"/>
        </w:rPr>
        <w:t>£2</w:t>
      </w:r>
      <w:r w:rsidR="00C07975">
        <w:rPr>
          <w:rFonts w:ascii="Century Gothic" w:hAnsi="Century Gothic"/>
          <w:b/>
          <w:color w:val="006FC0"/>
          <w:sz w:val="24"/>
        </w:rPr>
        <w:t>6.50</w:t>
      </w:r>
    </w:p>
    <w:p w14:paraId="6D193732" w14:textId="77777777" w:rsidR="009B12DE" w:rsidRPr="002F1507" w:rsidRDefault="009B12DE" w:rsidP="009B12DE">
      <w:pPr>
        <w:pStyle w:val="ListParagraph"/>
        <w:tabs>
          <w:tab w:val="left" w:pos="1918"/>
          <w:tab w:val="left" w:pos="1919"/>
        </w:tabs>
        <w:spacing w:before="1"/>
        <w:ind w:left="2811"/>
        <w:rPr>
          <w:rFonts w:ascii="Century Gothic" w:hAnsi="Century Gothic"/>
          <w:sz w:val="24"/>
        </w:rPr>
      </w:pPr>
    </w:p>
    <w:p w14:paraId="7B676342" w14:textId="4DA6FC2F" w:rsidR="009B12DE" w:rsidRPr="00077C8D" w:rsidRDefault="009B12DE" w:rsidP="009B12DE">
      <w:pPr>
        <w:pStyle w:val="ListParagraph"/>
        <w:widowControl w:val="0"/>
        <w:numPr>
          <w:ilvl w:val="1"/>
          <w:numId w:val="5"/>
        </w:numPr>
        <w:tabs>
          <w:tab w:val="left" w:pos="1918"/>
          <w:tab w:val="left" w:pos="1919"/>
        </w:tabs>
        <w:autoSpaceDE w:val="0"/>
        <w:autoSpaceDN w:val="0"/>
        <w:spacing w:before="1" w:line="305" w:lineRule="exact"/>
        <w:ind w:hanging="361"/>
        <w:contextualSpacing w:val="0"/>
        <w:rPr>
          <w:rFonts w:ascii="Century Gothic" w:hAnsi="Century Gothic"/>
          <w:b/>
          <w:sz w:val="24"/>
        </w:rPr>
      </w:pPr>
      <w:r w:rsidRPr="002F1507">
        <w:rPr>
          <w:rFonts w:ascii="Century Gothic" w:hAnsi="Century Gothic"/>
          <w:sz w:val="24"/>
        </w:rPr>
        <w:t xml:space="preserve">The </w:t>
      </w:r>
      <w:r w:rsidRPr="002F1507">
        <w:rPr>
          <w:rFonts w:ascii="Century Gothic" w:hAnsi="Century Gothic"/>
          <w:color w:val="006FC0"/>
          <w:sz w:val="24"/>
        </w:rPr>
        <w:t xml:space="preserve">median </w:t>
      </w:r>
      <w:r w:rsidRPr="002F1507">
        <w:rPr>
          <w:rFonts w:ascii="Century Gothic" w:hAnsi="Century Gothic"/>
          <w:sz w:val="24"/>
        </w:rPr>
        <w:t>gender pay gap for hourly pay is</w:t>
      </w:r>
      <w:r w:rsidRPr="002F1507">
        <w:rPr>
          <w:rFonts w:ascii="Century Gothic" w:hAnsi="Century Gothic"/>
          <w:spacing w:val="-4"/>
          <w:sz w:val="24"/>
        </w:rPr>
        <w:t xml:space="preserve"> </w:t>
      </w:r>
      <w:r w:rsidR="00044608">
        <w:rPr>
          <w:rFonts w:ascii="Century Gothic" w:hAnsi="Century Gothic"/>
          <w:b/>
          <w:color w:val="006FC0"/>
          <w:sz w:val="24"/>
        </w:rPr>
        <w:t>2</w:t>
      </w:r>
      <w:r w:rsidR="00C07975">
        <w:rPr>
          <w:rFonts w:ascii="Century Gothic" w:hAnsi="Century Gothic"/>
          <w:b/>
          <w:color w:val="006FC0"/>
          <w:sz w:val="24"/>
        </w:rPr>
        <w:t>1.57</w:t>
      </w:r>
      <w:r w:rsidRPr="002F1507">
        <w:rPr>
          <w:rFonts w:ascii="Century Gothic" w:hAnsi="Century Gothic"/>
          <w:b/>
          <w:color w:val="006FC0"/>
          <w:sz w:val="24"/>
        </w:rPr>
        <w:t>%.</w:t>
      </w:r>
    </w:p>
    <w:p w14:paraId="4857E2F9" w14:textId="4C01FE43" w:rsidR="009B12DE" w:rsidRPr="00077C8D" w:rsidRDefault="009B12DE" w:rsidP="009B12DE">
      <w:pPr>
        <w:pStyle w:val="ListParagraph"/>
        <w:widowControl w:val="0"/>
        <w:numPr>
          <w:ilvl w:val="2"/>
          <w:numId w:val="5"/>
        </w:numPr>
        <w:tabs>
          <w:tab w:val="left" w:pos="1918"/>
          <w:tab w:val="left" w:pos="1919"/>
        </w:tabs>
        <w:autoSpaceDE w:val="0"/>
        <w:autoSpaceDN w:val="0"/>
        <w:spacing w:before="1" w:line="305" w:lineRule="exact"/>
        <w:contextualSpacing w:val="0"/>
        <w:rPr>
          <w:rFonts w:ascii="Century Gothic" w:hAnsi="Century Gothic"/>
          <w:b/>
          <w:sz w:val="24"/>
        </w:rPr>
      </w:pPr>
      <w:r>
        <w:rPr>
          <w:rFonts w:ascii="Century Gothic" w:hAnsi="Century Gothic"/>
          <w:sz w:val="24"/>
        </w:rPr>
        <w:t xml:space="preserve">Median hourly rate for men: </w:t>
      </w:r>
      <w:r w:rsidRPr="00077C8D">
        <w:rPr>
          <w:rFonts w:ascii="Century Gothic" w:hAnsi="Century Gothic"/>
          <w:b/>
          <w:color w:val="006FC0"/>
          <w:sz w:val="24"/>
        </w:rPr>
        <w:t>£3</w:t>
      </w:r>
      <w:r w:rsidR="00C07975">
        <w:rPr>
          <w:rFonts w:ascii="Century Gothic" w:hAnsi="Century Gothic"/>
          <w:b/>
          <w:color w:val="006FC0"/>
          <w:sz w:val="24"/>
        </w:rPr>
        <w:t>4.92</w:t>
      </w:r>
    </w:p>
    <w:p w14:paraId="6EAB3801" w14:textId="5827934D" w:rsidR="009B12DE" w:rsidRPr="002F1507" w:rsidRDefault="009B12DE" w:rsidP="009B12DE">
      <w:pPr>
        <w:pStyle w:val="ListParagraph"/>
        <w:widowControl w:val="0"/>
        <w:numPr>
          <w:ilvl w:val="2"/>
          <w:numId w:val="5"/>
        </w:numPr>
        <w:tabs>
          <w:tab w:val="left" w:pos="1918"/>
          <w:tab w:val="left" w:pos="1919"/>
        </w:tabs>
        <w:autoSpaceDE w:val="0"/>
        <w:autoSpaceDN w:val="0"/>
        <w:spacing w:before="1" w:line="305" w:lineRule="exact"/>
        <w:contextualSpacing w:val="0"/>
        <w:rPr>
          <w:rFonts w:ascii="Century Gothic" w:hAnsi="Century Gothic"/>
          <w:b/>
          <w:sz w:val="24"/>
        </w:rPr>
      </w:pPr>
      <w:r>
        <w:rPr>
          <w:rFonts w:ascii="Century Gothic" w:hAnsi="Century Gothic"/>
          <w:sz w:val="24"/>
        </w:rPr>
        <w:t xml:space="preserve">Median hourly rate for women: </w:t>
      </w:r>
      <w:r w:rsidRPr="00077C8D">
        <w:rPr>
          <w:rFonts w:ascii="Century Gothic" w:hAnsi="Century Gothic"/>
          <w:b/>
          <w:color w:val="006FC0"/>
          <w:sz w:val="24"/>
        </w:rPr>
        <w:t>£2</w:t>
      </w:r>
      <w:r w:rsidR="00C07975">
        <w:rPr>
          <w:rFonts w:ascii="Century Gothic" w:hAnsi="Century Gothic"/>
          <w:b/>
          <w:color w:val="006FC0"/>
          <w:sz w:val="24"/>
        </w:rPr>
        <w:t>7.39</w:t>
      </w:r>
    </w:p>
    <w:p w14:paraId="39907E7E" w14:textId="77777777" w:rsidR="009B12DE" w:rsidRPr="002F1507" w:rsidRDefault="009B12DE" w:rsidP="009B12DE">
      <w:pPr>
        <w:pStyle w:val="BodyText"/>
        <w:rPr>
          <w:rFonts w:ascii="Century Gothic" w:hAnsi="Century Gothic"/>
        </w:rPr>
      </w:pPr>
    </w:p>
    <w:p w14:paraId="0AA74F93" w14:textId="3046FD9A" w:rsidR="009B12DE" w:rsidRPr="0035403C" w:rsidRDefault="009B12DE" w:rsidP="0035403C">
      <w:pPr>
        <w:pStyle w:val="BodyText"/>
        <w:ind w:left="478"/>
        <w:rPr>
          <w:rFonts w:ascii="Century Gothic" w:hAnsi="Century Gothic"/>
        </w:rPr>
      </w:pPr>
      <w:r w:rsidRPr="002F1507">
        <w:rPr>
          <w:rFonts w:ascii="Century Gothic" w:hAnsi="Century Gothic"/>
        </w:rPr>
        <w:t>The proportion and males and females in each quartile band:</w:t>
      </w:r>
    </w:p>
    <w:p w14:paraId="4FA48029" w14:textId="77777777" w:rsidR="009B12DE" w:rsidRDefault="009B12DE" w:rsidP="009B12DE">
      <w:pPr>
        <w:pStyle w:val="BodyText"/>
        <w:spacing w:before="11"/>
        <w:rPr>
          <w:rFonts w:ascii="Century Gothic" w:hAnsi="Century Gothic"/>
          <w:sz w:val="23"/>
        </w:rPr>
      </w:pPr>
    </w:p>
    <w:tbl>
      <w:tblPr>
        <w:tblW w:w="9990" w:type="dxa"/>
        <w:tblLook w:val="04A0" w:firstRow="1" w:lastRow="0" w:firstColumn="1" w:lastColumn="0" w:noHBand="0" w:noVBand="1"/>
      </w:tblPr>
      <w:tblGrid>
        <w:gridCol w:w="862"/>
        <w:gridCol w:w="1649"/>
        <w:gridCol w:w="1168"/>
        <w:gridCol w:w="1168"/>
        <w:gridCol w:w="1168"/>
        <w:gridCol w:w="1772"/>
        <w:gridCol w:w="2203"/>
      </w:tblGrid>
      <w:tr w:rsidR="00ED365F" w:rsidRPr="00ED365F" w14:paraId="2B78CC39" w14:textId="77777777" w:rsidTr="00ED365F">
        <w:trPr>
          <w:trHeight w:val="476"/>
        </w:trPr>
        <w:tc>
          <w:tcPr>
            <w:tcW w:w="8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5EF4A8" w14:textId="77777777" w:rsidR="00ED365F" w:rsidRPr="00ED365F" w:rsidRDefault="00ED365F" w:rsidP="00ED365F">
            <w:pPr>
              <w:jc w:val="center"/>
              <w:rPr>
                <w:rFonts w:ascii="Century Gothic" w:hAnsi="Century Gothic" w:cs="Calibri"/>
                <w:color w:val="000000"/>
                <w:lang w:eastAsia="en-GB"/>
              </w:rPr>
            </w:pPr>
            <w:r w:rsidRPr="00ED365F">
              <w:rPr>
                <w:rFonts w:ascii="Century Gothic" w:hAnsi="Century Gothic" w:cs="Calibri"/>
                <w:color w:val="000000"/>
                <w:lang w:eastAsia="en-GB"/>
              </w:rPr>
              <w:t>BAND </w:t>
            </w:r>
          </w:p>
        </w:tc>
        <w:tc>
          <w:tcPr>
            <w:tcW w:w="1649" w:type="dxa"/>
            <w:vMerge w:val="restart"/>
            <w:tcBorders>
              <w:top w:val="single" w:sz="8" w:space="0" w:color="auto"/>
              <w:left w:val="single" w:sz="8" w:space="0" w:color="auto"/>
              <w:bottom w:val="single" w:sz="8" w:space="0" w:color="000000"/>
              <w:right w:val="single" w:sz="8" w:space="0" w:color="auto"/>
            </w:tcBorders>
            <w:shd w:val="clear" w:color="000000" w:fill="4471C4"/>
            <w:vAlign w:val="center"/>
            <w:hideMark/>
          </w:tcPr>
          <w:p w14:paraId="30DC9D62"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Quartile band description</w:t>
            </w:r>
          </w:p>
        </w:tc>
        <w:tc>
          <w:tcPr>
            <w:tcW w:w="1168" w:type="dxa"/>
            <w:tcBorders>
              <w:top w:val="single" w:sz="8" w:space="0" w:color="auto"/>
              <w:left w:val="nil"/>
              <w:bottom w:val="single" w:sz="8" w:space="0" w:color="auto"/>
              <w:right w:val="single" w:sz="8" w:space="0" w:color="auto"/>
            </w:tcBorders>
            <w:shd w:val="clear" w:color="000000" w:fill="4471C4"/>
            <w:vAlign w:val="center"/>
            <w:hideMark/>
          </w:tcPr>
          <w:p w14:paraId="1A8E95F7"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Male</w:t>
            </w:r>
          </w:p>
        </w:tc>
        <w:tc>
          <w:tcPr>
            <w:tcW w:w="1168" w:type="dxa"/>
            <w:tcBorders>
              <w:top w:val="single" w:sz="8" w:space="0" w:color="auto"/>
              <w:left w:val="nil"/>
              <w:bottom w:val="single" w:sz="8" w:space="0" w:color="auto"/>
              <w:right w:val="single" w:sz="8" w:space="0" w:color="auto"/>
            </w:tcBorders>
            <w:shd w:val="clear" w:color="000000" w:fill="4471C4"/>
            <w:vAlign w:val="center"/>
            <w:hideMark/>
          </w:tcPr>
          <w:p w14:paraId="6B1BE4A4"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Female</w:t>
            </w:r>
          </w:p>
        </w:tc>
        <w:tc>
          <w:tcPr>
            <w:tcW w:w="1168" w:type="dxa"/>
            <w:tcBorders>
              <w:top w:val="single" w:sz="8" w:space="0" w:color="auto"/>
              <w:left w:val="nil"/>
              <w:bottom w:val="single" w:sz="8" w:space="0" w:color="auto"/>
              <w:right w:val="single" w:sz="8" w:space="0" w:color="auto"/>
            </w:tcBorders>
            <w:shd w:val="clear" w:color="000000" w:fill="4471C4"/>
            <w:vAlign w:val="center"/>
            <w:hideMark/>
          </w:tcPr>
          <w:p w14:paraId="281F6576"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Total</w:t>
            </w:r>
          </w:p>
        </w:tc>
        <w:tc>
          <w:tcPr>
            <w:tcW w:w="1772" w:type="dxa"/>
            <w:vMerge w:val="restart"/>
            <w:tcBorders>
              <w:top w:val="single" w:sz="8" w:space="0" w:color="auto"/>
              <w:left w:val="single" w:sz="8" w:space="0" w:color="auto"/>
              <w:bottom w:val="single" w:sz="8" w:space="0" w:color="000000"/>
              <w:right w:val="single" w:sz="8" w:space="0" w:color="auto"/>
            </w:tcBorders>
            <w:shd w:val="clear" w:color="000000" w:fill="4471C4"/>
            <w:vAlign w:val="center"/>
            <w:hideMark/>
          </w:tcPr>
          <w:p w14:paraId="57841956"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Male %</w:t>
            </w:r>
          </w:p>
        </w:tc>
        <w:tc>
          <w:tcPr>
            <w:tcW w:w="2203" w:type="dxa"/>
            <w:vMerge w:val="restart"/>
            <w:tcBorders>
              <w:top w:val="single" w:sz="8" w:space="0" w:color="auto"/>
              <w:left w:val="single" w:sz="8" w:space="0" w:color="auto"/>
              <w:bottom w:val="single" w:sz="8" w:space="0" w:color="000000"/>
              <w:right w:val="single" w:sz="8" w:space="0" w:color="auto"/>
            </w:tcBorders>
            <w:shd w:val="clear" w:color="000000" w:fill="4471C4"/>
            <w:vAlign w:val="center"/>
            <w:hideMark/>
          </w:tcPr>
          <w:p w14:paraId="01CCDE4C" w14:textId="77777777" w:rsidR="00ED365F" w:rsidRPr="00ED365F" w:rsidRDefault="00ED365F" w:rsidP="004A1F4C">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Female %</w:t>
            </w:r>
          </w:p>
        </w:tc>
      </w:tr>
      <w:tr w:rsidR="00ED365F" w:rsidRPr="00ED365F" w14:paraId="1CCDDE26" w14:textId="77777777" w:rsidTr="00ED365F">
        <w:trPr>
          <w:trHeight w:val="212"/>
        </w:trPr>
        <w:tc>
          <w:tcPr>
            <w:tcW w:w="862" w:type="dxa"/>
            <w:vMerge/>
            <w:tcBorders>
              <w:top w:val="single" w:sz="8" w:space="0" w:color="auto"/>
              <w:left w:val="single" w:sz="8" w:space="0" w:color="auto"/>
              <w:bottom w:val="single" w:sz="8" w:space="0" w:color="000000"/>
              <w:right w:val="single" w:sz="8" w:space="0" w:color="auto"/>
            </w:tcBorders>
            <w:vAlign w:val="center"/>
            <w:hideMark/>
          </w:tcPr>
          <w:p w14:paraId="543F6C8B" w14:textId="77777777" w:rsidR="00ED365F" w:rsidRPr="00ED365F" w:rsidRDefault="00ED365F" w:rsidP="00ED365F">
            <w:pPr>
              <w:rPr>
                <w:rFonts w:ascii="Century Gothic" w:hAnsi="Century Gothic" w:cs="Calibri"/>
                <w:color w:val="000000"/>
                <w:lang w:eastAsia="en-GB"/>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14:paraId="2033E611" w14:textId="77777777" w:rsidR="00ED365F" w:rsidRPr="00ED365F" w:rsidRDefault="00ED365F" w:rsidP="00ED365F">
            <w:pPr>
              <w:rPr>
                <w:rFonts w:ascii="Century Gothic" w:hAnsi="Century Gothic" w:cs="Calibri"/>
                <w:color w:val="FFFFFF"/>
                <w:sz w:val="24"/>
                <w:szCs w:val="24"/>
                <w:lang w:eastAsia="en-GB"/>
              </w:rPr>
            </w:pPr>
          </w:p>
        </w:tc>
        <w:tc>
          <w:tcPr>
            <w:tcW w:w="1168" w:type="dxa"/>
            <w:tcBorders>
              <w:top w:val="nil"/>
              <w:left w:val="nil"/>
              <w:bottom w:val="single" w:sz="8" w:space="0" w:color="auto"/>
              <w:right w:val="single" w:sz="8" w:space="0" w:color="auto"/>
            </w:tcBorders>
            <w:shd w:val="clear" w:color="000000" w:fill="4471C4"/>
            <w:vAlign w:val="center"/>
            <w:hideMark/>
          </w:tcPr>
          <w:p w14:paraId="020DDE4A"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number</w:t>
            </w:r>
          </w:p>
        </w:tc>
        <w:tc>
          <w:tcPr>
            <w:tcW w:w="1168" w:type="dxa"/>
            <w:tcBorders>
              <w:top w:val="nil"/>
              <w:left w:val="nil"/>
              <w:bottom w:val="single" w:sz="8" w:space="0" w:color="auto"/>
              <w:right w:val="single" w:sz="8" w:space="0" w:color="auto"/>
            </w:tcBorders>
            <w:shd w:val="clear" w:color="000000" w:fill="4471C4"/>
            <w:vAlign w:val="center"/>
            <w:hideMark/>
          </w:tcPr>
          <w:p w14:paraId="691574A1"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number</w:t>
            </w:r>
          </w:p>
        </w:tc>
        <w:tc>
          <w:tcPr>
            <w:tcW w:w="1168" w:type="dxa"/>
            <w:tcBorders>
              <w:top w:val="nil"/>
              <w:left w:val="nil"/>
              <w:bottom w:val="single" w:sz="8" w:space="0" w:color="auto"/>
              <w:right w:val="single" w:sz="8" w:space="0" w:color="auto"/>
            </w:tcBorders>
            <w:shd w:val="clear" w:color="000000" w:fill="4471C4"/>
            <w:vAlign w:val="center"/>
            <w:hideMark/>
          </w:tcPr>
          <w:p w14:paraId="772823B9" w14:textId="77777777" w:rsidR="00ED365F" w:rsidRPr="00ED365F" w:rsidRDefault="00ED365F" w:rsidP="00ED365F">
            <w:pPr>
              <w:jc w:val="center"/>
              <w:rPr>
                <w:rFonts w:ascii="Century Gothic" w:hAnsi="Century Gothic" w:cs="Calibri"/>
                <w:color w:val="FFFFFF"/>
                <w:sz w:val="24"/>
                <w:szCs w:val="24"/>
                <w:lang w:eastAsia="en-GB"/>
              </w:rPr>
            </w:pPr>
            <w:r w:rsidRPr="00ED365F">
              <w:rPr>
                <w:rFonts w:ascii="Century Gothic" w:hAnsi="Century Gothic" w:cs="Calibri"/>
                <w:color w:val="FFFFFF"/>
                <w:sz w:val="24"/>
                <w:szCs w:val="24"/>
                <w:lang w:eastAsia="en-GB"/>
              </w:rPr>
              <w:t>number</w:t>
            </w:r>
          </w:p>
        </w:tc>
        <w:tc>
          <w:tcPr>
            <w:tcW w:w="1772" w:type="dxa"/>
            <w:vMerge/>
            <w:tcBorders>
              <w:top w:val="single" w:sz="8" w:space="0" w:color="auto"/>
              <w:left w:val="single" w:sz="8" w:space="0" w:color="auto"/>
              <w:bottom w:val="single" w:sz="8" w:space="0" w:color="000000"/>
              <w:right w:val="single" w:sz="8" w:space="0" w:color="auto"/>
            </w:tcBorders>
            <w:vAlign w:val="center"/>
            <w:hideMark/>
          </w:tcPr>
          <w:p w14:paraId="59EF5BE1" w14:textId="77777777" w:rsidR="00ED365F" w:rsidRPr="00ED365F" w:rsidRDefault="00ED365F" w:rsidP="00ED365F">
            <w:pPr>
              <w:rPr>
                <w:rFonts w:ascii="Century Gothic" w:hAnsi="Century Gothic" w:cs="Calibri"/>
                <w:color w:val="FFFFFF"/>
                <w:sz w:val="24"/>
                <w:szCs w:val="24"/>
                <w:lang w:eastAsia="en-GB"/>
              </w:rPr>
            </w:pPr>
          </w:p>
        </w:tc>
        <w:tc>
          <w:tcPr>
            <w:tcW w:w="2203" w:type="dxa"/>
            <w:vMerge/>
            <w:tcBorders>
              <w:top w:val="single" w:sz="8" w:space="0" w:color="auto"/>
              <w:left w:val="single" w:sz="8" w:space="0" w:color="auto"/>
              <w:bottom w:val="single" w:sz="8" w:space="0" w:color="000000"/>
              <w:right w:val="single" w:sz="8" w:space="0" w:color="auto"/>
            </w:tcBorders>
            <w:vAlign w:val="center"/>
            <w:hideMark/>
          </w:tcPr>
          <w:p w14:paraId="4EA4A153" w14:textId="77777777" w:rsidR="00ED365F" w:rsidRPr="00ED365F" w:rsidRDefault="00ED365F" w:rsidP="004A1F4C">
            <w:pPr>
              <w:jc w:val="center"/>
              <w:rPr>
                <w:rFonts w:ascii="Century Gothic" w:hAnsi="Century Gothic" w:cs="Calibri"/>
                <w:color w:val="FFFFFF"/>
                <w:sz w:val="24"/>
                <w:szCs w:val="24"/>
                <w:lang w:eastAsia="en-GB"/>
              </w:rPr>
            </w:pPr>
          </w:p>
        </w:tc>
      </w:tr>
      <w:tr w:rsidR="00ED365F" w:rsidRPr="00ED365F" w14:paraId="03CA99B3" w14:textId="77777777" w:rsidTr="00ED365F">
        <w:trPr>
          <w:trHeight w:val="212"/>
        </w:trPr>
        <w:tc>
          <w:tcPr>
            <w:tcW w:w="862" w:type="dxa"/>
            <w:vMerge w:val="restart"/>
            <w:tcBorders>
              <w:top w:val="nil"/>
              <w:left w:val="single" w:sz="8" w:space="0" w:color="auto"/>
              <w:bottom w:val="single" w:sz="8" w:space="0" w:color="000000"/>
              <w:right w:val="single" w:sz="8" w:space="0" w:color="auto"/>
            </w:tcBorders>
            <w:shd w:val="clear" w:color="auto" w:fill="auto"/>
            <w:vAlign w:val="center"/>
            <w:hideMark/>
          </w:tcPr>
          <w:p w14:paraId="20D007FC" w14:textId="77777777" w:rsidR="00ED365F" w:rsidRPr="00ED365F" w:rsidRDefault="00ED365F" w:rsidP="00ED365F">
            <w:pPr>
              <w:jc w:val="cente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A</w:t>
            </w:r>
          </w:p>
        </w:tc>
        <w:tc>
          <w:tcPr>
            <w:tcW w:w="1649" w:type="dxa"/>
            <w:tcBorders>
              <w:top w:val="nil"/>
              <w:left w:val="nil"/>
              <w:bottom w:val="single" w:sz="8" w:space="0" w:color="auto"/>
              <w:right w:val="single" w:sz="8" w:space="0" w:color="auto"/>
            </w:tcBorders>
            <w:shd w:val="clear" w:color="000000" w:fill="FFFFFF"/>
            <w:vAlign w:val="center"/>
            <w:hideMark/>
          </w:tcPr>
          <w:p w14:paraId="67CF2084"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Lower</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1F5D38" w14:textId="2DB7FAB6" w:rsidR="00ED365F" w:rsidRPr="00ED365F" w:rsidRDefault="0035403C"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2</w:t>
            </w:r>
            <w:r w:rsidR="00C07975">
              <w:rPr>
                <w:rFonts w:ascii="Century Gothic" w:hAnsi="Century Gothic" w:cs="Calibri"/>
                <w:color w:val="000000"/>
                <w:sz w:val="24"/>
                <w:szCs w:val="24"/>
                <w:lang w:eastAsia="en-GB"/>
              </w:rPr>
              <w:t>9</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47EB16" w14:textId="71B44092" w:rsidR="00ED365F" w:rsidRPr="00ED365F" w:rsidRDefault="00C07975"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95</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12783E" w14:textId="6EF1F922" w:rsidR="00ED365F" w:rsidRPr="00ED365F" w:rsidRDefault="00C07975"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124</w:t>
            </w:r>
          </w:p>
        </w:tc>
        <w:tc>
          <w:tcPr>
            <w:tcW w:w="17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9BC6C8" w14:textId="461F388D" w:rsidR="00ED365F" w:rsidRPr="00ED365F" w:rsidRDefault="00C07975" w:rsidP="00ED365F">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23.39</w:t>
            </w:r>
          </w:p>
        </w:tc>
        <w:tc>
          <w:tcPr>
            <w:tcW w:w="22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259B7A" w14:textId="19A240D2" w:rsidR="00ED365F" w:rsidRPr="00ED365F" w:rsidRDefault="004A1F4C" w:rsidP="004A1F4C">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76.61</w:t>
            </w:r>
          </w:p>
        </w:tc>
      </w:tr>
      <w:tr w:rsidR="00ED365F" w:rsidRPr="00ED365F" w14:paraId="6A6927D5" w14:textId="77777777" w:rsidTr="00ED365F">
        <w:trPr>
          <w:trHeight w:val="1460"/>
        </w:trPr>
        <w:tc>
          <w:tcPr>
            <w:tcW w:w="862" w:type="dxa"/>
            <w:vMerge/>
            <w:tcBorders>
              <w:top w:val="nil"/>
              <w:left w:val="single" w:sz="8" w:space="0" w:color="auto"/>
              <w:bottom w:val="single" w:sz="8" w:space="0" w:color="000000"/>
              <w:right w:val="single" w:sz="8" w:space="0" w:color="auto"/>
            </w:tcBorders>
            <w:vAlign w:val="center"/>
            <w:hideMark/>
          </w:tcPr>
          <w:p w14:paraId="0E771D9B" w14:textId="77777777" w:rsidR="00ED365F" w:rsidRPr="00ED365F" w:rsidRDefault="00ED365F" w:rsidP="00ED365F">
            <w:pPr>
              <w:rPr>
                <w:rFonts w:ascii="Century Gothic" w:hAnsi="Century Gothic" w:cs="Calibri"/>
                <w:color w:val="000000"/>
                <w:sz w:val="24"/>
                <w:szCs w:val="24"/>
                <w:lang w:eastAsia="en-GB"/>
              </w:rPr>
            </w:pPr>
          </w:p>
        </w:tc>
        <w:tc>
          <w:tcPr>
            <w:tcW w:w="1649" w:type="dxa"/>
            <w:tcBorders>
              <w:top w:val="nil"/>
              <w:left w:val="nil"/>
              <w:bottom w:val="single" w:sz="8" w:space="0" w:color="auto"/>
              <w:right w:val="single" w:sz="8" w:space="0" w:color="auto"/>
            </w:tcBorders>
            <w:shd w:val="clear" w:color="000000" w:fill="FFFFFF"/>
            <w:vAlign w:val="center"/>
            <w:hideMark/>
          </w:tcPr>
          <w:p w14:paraId="0AB771EB"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(0–25% of full-pay relevant employees)</w:t>
            </w:r>
          </w:p>
        </w:tc>
        <w:tc>
          <w:tcPr>
            <w:tcW w:w="1168" w:type="dxa"/>
            <w:vMerge/>
            <w:tcBorders>
              <w:top w:val="nil"/>
              <w:left w:val="single" w:sz="8" w:space="0" w:color="auto"/>
              <w:bottom w:val="single" w:sz="8" w:space="0" w:color="000000"/>
              <w:right w:val="single" w:sz="8" w:space="0" w:color="auto"/>
            </w:tcBorders>
            <w:vAlign w:val="center"/>
            <w:hideMark/>
          </w:tcPr>
          <w:p w14:paraId="3A99F719"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3FA952CC"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5DDA3858" w14:textId="77777777" w:rsidR="00ED365F" w:rsidRPr="00ED365F" w:rsidRDefault="00ED365F" w:rsidP="00ED365F">
            <w:pPr>
              <w:rPr>
                <w:rFonts w:ascii="Century Gothic" w:hAnsi="Century Gothic" w:cs="Calibri"/>
                <w:color w:val="000000"/>
                <w:sz w:val="24"/>
                <w:szCs w:val="24"/>
                <w:lang w:eastAsia="en-GB"/>
              </w:rPr>
            </w:pPr>
          </w:p>
        </w:tc>
        <w:tc>
          <w:tcPr>
            <w:tcW w:w="1772" w:type="dxa"/>
            <w:vMerge/>
            <w:tcBorders>
              <w:top w:val="nil"/>
              <w:left w:val="single" w:sz="8" w:space="0" w:color="auto"/>
              <w:bottom w:val="single" w:sz="8" w:space="0" w:color="000000"/>
              <w:right w:val="single" w:sz="8" w:space="0" w:color="auto"/>
            </w:tcBorders>
            <w:vAlign w:val="center"/>
            <w:hideMark/>
          </w:tcPr>
          <w:p w14:paraId="17B078D0" w14:textId="77777777" w:rsidR="00ED365F" w:rsidRPr="00ED365F" w:rsidRDefault="00ED365F" w:rsidP="00ED365F">
            <w:pPr>
              <w:rPr>
                <w:rFonts w:ascii="Century Gothic" w:hAnsi="Century Gothic" w:cs="Calibri"/>
                <w:color w:val="000000"/>
                <w:sz w:val="24"/>
                <w:szCs w:val="24"/>
                <w:lang w:eastAsia="en-GB"/>
              </w:rPr>
            </w:pPr>
          </w:p>
        </w:tc>
        <w:tc>
          <w:tcPr>
            <w:tcW w:w="2203" w:type="dxa"/>
            <w:vMerge/>
            <w:tcBorders>
              <w:top w:val="nil"/>
              <w:left w:val="single" w:sz="8" w:space="0" w:color="auto"/>
              <w:bottom w:val="single" w:sz="8" w:space="0" w:color="000000"/>
              <w:right w:val="single" w:sz="8" w:space="0" w:color="auto"/>
            </w:tcBorders>
            <w:vAlign w:val="center"/>
            <w:hideMark/>
          </w:tcPr>
          <w:p w14:paraId="68178C2A" w14:textId="77777777" w:rsidR="00ED365F" w:rsidRPr="00ED365F" w:rsidRDefault="00ED365F" w:rsidP="004A1F4C">
            <w:pPr>
              <w:jc w:val="center"/>
              <w:rPr>
                <w:rFonts w:ascii="Century Gothic" w:hAnsi="Century Gothic" w:cs="Calibri"/>
                <w:color w:val="000000"/>
                <w:sz w:val="24"/>
                <w:szCs w:val="24"/>
                <w:lang w:eastAsia="en-GB"/>
              </w:rPr>
            </w:pPr>
          </w:p>
        </w:tc>
      </w:tr>
      <w:tr w:rsidR="00ED365F" w:rsidRPr="00ED365F" w14:paraId="15EF79FF" w14:textId="77777777" w:rsidTr="00ED365F">
        <w:trPr>
          <w:trHeight w:val="421"/>
        </w:trPr>
        <w:tc>
          <w:tcPr>
            <w:tcW w:w="862" w:type="dxa"/>
            <w:vMerge w:val="restart"/>
            <w:tcBorders>
              <w:top w:val="nil"/>
              <w:left w:val="single" w:sz="8" w:space="0" w:color="auto"/>
              <w:bottom w:val="single" w:sz="8" w:space="0" w:color="000000"/>
              <w:right w:val="single" w:sz="8" w:space="0" w:color="auto"/>
            </w:tcBorders>
            <w:shd w:val="clear" w:color="auto" w:fill="auto"/>
            <w:vAlign w:val="center"/>
            <w:hideMark/>
          </w:tcPr>
          <w:p w14:paraId="5F2A0AE4" w14:textId="77777777" w:rsidR="00ED365F" w:rsidRPr="00ED365F" w:rsidRDefault="00ED365F" w:rsidP="00ED365F">
            <w:pPr>
              <w:jc w:val="cente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B</w:t>
            </w:r>
          </w:p>
        </w:tc>
        <w:tc>
          <w:tcPr>
            <w:tcW w:w="1649" w:type="dxa"/>
            <w:tcBorders>
              <w:top w:val="nil"/>
              <w:left w:val="nil"/>
              <w:bottom w:val="single" w:sz="8" w:space="0" w:color="auto"/>
              <w:right w:val="single" w:sz="8" w:space="0" w:color="auto"/>
            </w:tcBorders>
            <w:shd w:val="clear" w:color="000000" w:fill="FFFFFF"/>
            <w:vAlign w:val="center"/>
            <w:hideMark/>
          </w:tcPr>
          <w:p w14:paraId="6AF0B7F9"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Lower middle</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CEC1EC" w14:textId="52A55157" w:rsidR="00ED365F" w:rsidRPr="00ED365F" w:rsidRDefault="004A1F4C"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35</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F234F5" w14:textId="1771F99D" w:rsidR="00ED365F" w:rsidRPr="00ED365F" w:rsidRDefault="004A1F4C"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89</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E653A6" w14:textId="0E831F89" w:rsidR="00ED365F" w:rsidRPr="00ED365F" w:rsidRDefault="00281F57"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124</w:t>
            </w:r>
          </w:p>
        </w:tc>
        <w:tc>
          <w:tcPr>
            <w:tcW w:w="17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3ED6E" w14:textId="690875FA" w:rsidR="00ED365F" w:rsidRPr="00ED365F" w:rsidRDefault="004A1F4C" w:rsidP="00ED365F">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28.23</w:t>
            </w:r>
          </w:p>
        </w:tc>
        <w:tc>
          <w:tcPr>
            <w:tcW w:w="22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5884E8" w14:textId="76D63929" w:rsidR="00ED365F" w:rsidRPr="00ED365F" w:rsidRDefault="004A1F4C" w:rsidP="004A1F4C">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71.77</w:t>
            </w:r>
          </w:p>
        </w:tc>
      </w:tr>
      <w:tr w:rsidR="00ED365F" w:rsidRPr="00ED365F" w14:paraId="45EDC705" w14:textId="77777777" w:rsidTr="00ED365F">
        <w:trPr>
          <w:trHeight w:val="1460"/>
        </w:trPr>
        <w:tc>
          <w:tcPr>
            <w:tcW w:w="862" w:type="dxa"/>
            <w:vMerge/>
            <w:tcBorders>
              <w:top w:val="nil"/>
              <w:left w:val="single" w:sz="8" w:space="0" w:color="auto"/>
              <w:bottom w:val="single" w:sz="8" w:space="0" w:color="000000"/>
              <w:right w:val="single" w:sz="8" w:space="0" w:color="auto"/>
            </w:tcBorders>
            <w:vAlign w:val="center"/>
            <w:hideMark/>
          </w:tcPr>
          <w:p w14:paraId="1F27EA94" w14:textId="77777777" w:rsidR="00ED365F" w:rsidRPr="00ED365F" w:rsidRDefault="00ED365F" w:rsidP="00ED365F">
            <w:pPr>
              <w:rPr>
                <w:rFonts w:ascii="Century Gothic" w:hAnsi="Century Gothic" w:cs="Calibri"/>
                <w:color w:val="000000"/>
                <w:sz w:val="24"/>
                <w:szCs w:val="24"/>
                <w:lang w:eastAsia="en-GB"/>
              </w:rPr>
            </w:pPr>
          </w:p>
        </w:tc>
        <w:tc>
          <w:tcPr>
            <w:tcW w:w="1649" w:type="dxa"/>
            <w:tcBorders>
              <w:top w:val="nil"/>
              <w:left w:val="nil"/>
              <w:bottom w:val="single" w:sz="8" w:space="0" w:color="auto"/>
              <w:right w:val="single" w:sz="8" w:space="0" w:color="auto"/>
            </w:tcBorders>
            <w:shd w:val="clear" w:color="000000" w:fill="FFFFFF"/>
            <w:vAlign w:val="center"/>
            <w:hideMark/>
          </w:tcPr>
          <w:p w14:paraId="595EF96B"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(25–50% of full-pay relevant employees)</w:t>
            </w:r>
          </w:p>
        </w:tc>
        <w:tc>
          <w:tcPr>
            <w:tcW w:w="1168" w:type="dxa"/>
            <w:vMerge/>
            <w:tcBorders>
              <w:top w:val="nil"/>
              <w:left w:val="single" w:sz="8" w:space="0" w:color="auto"/>
              <w:bottom w:val="single" w:sz="8" w:space="0" w:color="000000"/>
              <w:right w:val="single" w:sz="8" w:space="0" w:color="auto"/>
            </w:tcBorders>
            <w:vAlign w:val="center"/>
            <w:hideMark/>
          </w:tcPr>
          <w:p w14:paraId="2B936CEB"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51C62E30"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3AE6D7D5" w14:textId="77777777" w:rsidR="00ED365F" w:rsidRPr="00ED365F" w:rsidRDefault="00ED365F" w:rsidP="00ED365F">
            <w:pPr>
              <w:rPr>
                <w:rFonts w:ascii="Century Gothic" w:hAnsi="Century Gothic" w:cs="Calibri"/>
                <w:color w:val="000000"/>
                <w:sz w:val="24"/>
                <w:szCs w:val="24"/>
                <w:lang w:eastAsia="en-GB"/>
              </w:rPr>
            </w:pPr>
          </w:p>
        </w:tc>
        <w:tc>
          <w:tcPr>
            <w:tcW w:w="1772" w:type="dxa"/>
            <w:vMerge/>
            <w:tcBorders>
              <w:top w:val="nil"/>
              <w:left w:val="single" w:sz="8" w:space="0" w:color="auto"/>
              <w:bottom w:val="single" w:sz="8" w:space="0" w:color="000000"/>
              <w:right w:val="single" w:sz="8" w:space="0" w:color="auto"/>
            </w:tcBorders>
            <w:vAlign w:val="center"/>
            <w:hideMark/>
          </w:tcPr>
          <w:p w14:paraId="44F2CB8A" w14:textId="77777777" w:rsidR="00ED365F" w:rsidRPr="00ED365F" w:rsidRDefault="00ED365F" w:rsidP="00ED365F">
            <w:pPr>
              <w:rPr>
                <w:rFonts w:ascii="Century Gothic" w:hAnsi="Century Gothic" w:cs="Calibri"/>
                <w:color w:val="000000"/>
                <w:sz w:val="24"/>
                <w:szCs w:val="24"/>
                <w:lang w:eastAsia="en-GB"/>
              </w:rPr>
            </w:pPr>
          </w:p>
        </w:tc>
        <w:tc>
          <w:tcPr>
            <w:tcW w:w="2203" w:type="dxa"/>
            <w:vMerge/>
            <w:tcBorders>
              <w:top w:val="nil"/>
              <w:left w:val="single" w:sz="8" w:space="0" w:color="auto"/>
              <w:bottom w:val="single" w:sz="8" w:space="0" w:color="000000"/>
              <w:right w:val="single" w:sz="8" w:space="0" w:color="auto"/>
            </w:tcBorders>
            <w:vAlign w:val="center"/>
            <w:hideMark/>
          </w:tcPr>
          <w:p w14:paraId="317739B6" w14:textId="77777777" w:rsidR="00ED365F" w:rsidRPr="00ED365F" w:rsidRDefault="00ED365F" w:rsidP="004A1F4C">
            <w:pPr>
              <w:jc w:val="center"/>
              <w:rPr>
                <w:rFonts w:ascii="Century Gothic" w:hAnsi="Century Gothic" w:cs="Calibri"/>
                <w:color w:val="000000"/>
                <w:sz w:val="24"/>
                <w:szCs w:val="24"/>
                <w:lang w:eastAsia="en-GB"/>
              </w:rPr>
            </w:pPr>
          </w:p>
        </w:tc>
      </w:tr>
      <w:tr w:rsidR="00ED365F" w:rsidRPr="00ED365F" w14:paraId="14FA741D" w14:textId="77777777" w:rsidTr="00ED365F">
        <w:trPr>
          <w:trHeight w:val="421"/>
        </w:trPr>
        <w:tc>
          <w:tcPr>
            <w:tcW w:w="862" w:type="dxa"/>
            <w:vMerge w:val="restart"/>
            <w:tcBorders>
              <w:top w:val="nil"/>
              <w:left w:val="single" w:sz="8" w:space="0" w:color="auto"/>
              <w:bottom w:val="single" w:sz="8" w:space="0" w:color="000000"/>
              <w:right w:val="single" w:sz="8" w:space="0" w:color="auto"/>
            </w:tcBorders>
            <w:shd w:val="clear" w:color="auto" w:fill="auto"/>
            <w:vAlign w:val="center"/>
            <w:hideMark/>
          </w:tcPr>
          <w:p w14:paraId="4DF8E4BB" w14:textId="77777777" w:rsidR="00ED365F" w:rsidRPr="00ED365F" w:rsidRDefault="00ED365F" w:rsidP="00ED365F">
            <w:pPr>
              <w:jc w:val="cente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C</w:t>
            </w:r>
          </w:p>
        </w:tc>
        <w:tc>
          <w:tcPr>
            <w:tcW w:w="1649" w:type="dxa"/>
            <w:tcBorders>
              <w:top w:val="nil"/>
              <w:left w:val="nil"/>
              <w:bottom w:val="single" w:sz="8" w:space="0" w:color="auto"/>
              <w:right w:val="single" w:sz="8" w:space="0" w:color="auto"/>
            </w:tcBorders>
            <w:shd w:val="clear" w:color="000000" w:fill="FFFFFF"/>
            <w:vAlign w:val="center"/>
            <w:hideMark/>
          </w:tcPr>
          <w:p w14:paraId="606BB292"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Upper middle</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AE86AC" w14:textId="7F45AF66" w:rsidR="00ED365F" w:rsidRPr="00ED365F" w:rsidRDefault="0035403C"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4</w:t>
            </w:r>
            <w:r w:rsidR="00910011">
              <w:rPr>
                <w:rFonts w:ascii="Century Gothic" w:hAnsi="Century Gothic" w:cs="Calibri"/>
                <w:color w:val="000000"/>
                <w:sz w:val="24"/>
                <w:szCs w:val="24"/>
                <w:lang w:eastAsia="en-GB"/>
              </w:rPr>
              <w:t>5</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714316" w14:textId="5A5C8641" w:rsidR="00ED365F" w:rsidRPr="00ED365F" w:rsidRDefault="00910011"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79</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276B3A" w14:textId="5EDD5F79" w:rsidR="00ED365F" w:rsidRPr="00ED365F" w:rsidRDefault="00281F57"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124</w:t>
            </w:r>
          </w:p>
        </w:tc>
        <w:tc>
          <w:tcPr>
            <w:tcW w:w="17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494772" w14:textId="1F28DF7E" w:rsidR="00ED365F" w:rsidRPr="00ED365F" w:rsidRDefault="00910011" w:rsidP="00ED365F">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36.29</w:t>
            </w:r>
          </w:p>
        </w:tc>
        <w:tc>
          <w:tcPr>
            <w:tcW w:w="22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469CCF" w14:textId="218B5976" w:rsidR="00ED365F" w:rsidRPr="00ED365F" w:rsidRDefault="00910011" w:rsidP="004A1F4C">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63.71</w:t>
            </w:r>
          </w:p>
        </w:tc>
      </w:tr>
      <w:tr w:rsidR="00ED365F" w:rsidRPr="00ED365F" w14:paraId="725BF793" w14:textId="77777777" w:rsidTr="00ED365F">
        <w:trPr>
          <w:trHeight w:val="1460"/>
        </w:trPr>
        <w:tc>
          <w:tcPr>
            <w:tcW w:w="862" w:type="dxa"/>
            <w:vMerge/>
            <w:tcBorders>
              <w:top w:val="nil"/>
              <w:left w:val="single" w:sz="8" w:space="0" w:color="auto"/>
              <w:bottom w:val="single" w:sz="8" w:space="0" w:color="000000"/>
              <w:right w:val="single" w:sz="8" w:space="0" w:color="auto"/>
            </w:tcBorders>
            <w:vAlign w:val="center"/>
            <w:hideMark/>
          </w:tcPr>
          <w:p w14:paraId="674537E0" w14:textId="77777777" w:rsidR="00ED365F" w:rsidRPr="00ED365F" w:rsidRDefault="00ED365F" w:rsidP="00ED365F">
            <w:pPr>
              <w:rPr>
                <w:rFonts w:ascii="Century Gothic" w:hAnsi="Century Gothic" w:cs="Calibri"/>
                <w:color w:val="000000"/>
                <w:sz w:val="24"/>
                <w:szCs w:val="24"/>
                <w:lang w:eastAsia="en-GB"/>
              </w:rPr>
            </w:pPr>
          </w:p>
        </w:tc>
        <w:tc>
          <w:tcPr>
            <w:tcW w:w="1649" w:type="dxa"/>
            <w:tcBorders>
              <w:top w:val="nil"/>
              <w:left w:val="nil"/>
              <w:bottom w:val="single" w:sz="8" w:space="0" w:color="auto"/>
              <w:right w:val="single" w:sz="8" w:space="0" w:color="auto"/>
            </w:tcBorders>
            <w:shd w:val="clear" w:color="000000" w:fill="FFFFFF"/>
            <w:vAlign w:val="center"/>
            <w:hideMark/>
          </w:tcPr>
          <w:p w14:paraId="657D872E"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(50–75% of full-pay relevant employees)</w:t>
            </w:r>
          </w:p>
        </w:tc>
        <w:tc>
          <w:tcPr>
            <w:tcW w:w="1168" w:type="dxa"/>
            <w:vMerge/>
            <w:tcBorders>
              <w:top w:val="nil"/>
              <w:left w:val="single" w:sz="8" w:space="0" w:color="auto"/>
              <w:bottom w:val="single" w:sz="8" w:space="0" w:color="000000"/>
              <w:right w:val="single" w:sz="8" w:space="0" w:color="auto"/>
            </w:tcBorders>
            <w:vAlign w:val="center"/>
            <w:hideMark/>
          </w:tcPr>
          <w:p w14:paraId="1BB7E4C0"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78CF68F2"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47FA0BE4" w14:textId="77777777" w:rsidR="00ED365F" w:rsidRPr="00ED365F" w:rsidRDefault="00ED365F" w:rsidP="00ED365F">
            <w:pPr>
              <w:rPr>
                <w:rFonts w:ascii="Century Gothic" w:hAnsi="Century Gothic" w:cs="Calibri"/>
                <w:color w:val="000000"/>
                <w:sz w:val="24"/>
                <w:szCs w:val="24"/>
                <w:lang w:eastAsia="en-GB"/>
              </w:rPr>
            </w:pPr>
          </w:p>
        </w:tc>
        <w:tc>
          <w:tcPr>
            <w:tcW w:w="1772" w:type="dxa"/>
            <w:vMerge/>
            <w:tcBorders>
              <w:top w:val="nil"/>
              <w:left w:val="single" w:sz="8" w:space="0" w:color="auto"/>
              <w:bottom w:val="single" w:sz="8" w:space="0" w:color="000000"/>
              <w:right w:val="single" w:sz="8" w:space="0" w:color="auto"/>
            </w:tcBorders>
            <w:vAlign w:val="center"/>
            <w:hideMark/>
          </w:tcPr>
          <w:p w14:paraId="5EA70CF5" w14:textId="77777777" w:rsidR="00ED365F" w:rsidRPr="00ED365F" w:rsidRDefault="00ED365F" w:rsidP="00ED365F">
            <w:pPr>
              <w:rPr>
                <w:rFonts w:ascii="Century Gothic" w:hAnsi="Century Gothic" w:cs="Calibri"/>
                <w:color w:val="000000"/>
                <w:sz w:val="24"/>
                <w:szCs w:val="24"/>
                <w:lang w:eastAsia="en-GB"/>
              </w:rPr>
            </w:pPr>
          </w:p>
        </w:tc>
        <w:tc>
          <w:tcPr>
            <w:tcW w:w="2203" w:type="dxa"/>
            <w:vMerge/>
            <w:tcBorders>
              <w:top w:val="nil"/>
              <w:left w:val="single" w:sz="8" w:space="0" w:color="auto"/>
              <w:bottom w:val="single" w:sz="8" w:space="0" w:color="000000"/>
              <w:right w:val="single" w:sz="8" w:space="0" w:color="auto"/>
            </w:tcBorders>
            <w:vAlign w:val="center"/>
            <w:hideMark/>
          </w:tcPr>
          <w:p w14:paraId="49A8F8C2" w14:textId="77777777" w:rsidR="00ED365F" w:rsidRPr="00ED365F" w:rsidRDefault="00ED365F" w:rsidP="004A1F4C">
            <w:pPr>
              <w:jc w:val="center"/>
              <w:rPr>
                <w:rFonts w:ascii="Century Gothic" w:hAnsi="Century Gothic" w:cs="Calibri"/>
                <w:color w:val="000000"/>
                <w:sz w:val="24"/>
                <w:szCs w:val="24"/>
                <w:lang w:eastAsia="en-GB"/>
              </w:rPr>
            </w:pPr>
          </w:p>
        </w:tc>
      </w:tr>
      <w:tr w:rsidR="00ED365F" w:rsidRPr="00ED365F" w14:paraId="1F0639BD" w14:textId="77777777" w:rsidTr="00ED365F">
        <w:trPr>
          <w:trHeight w:val="212"/>
        </w:trPr>
        <w:tc>
          <w:tcPr>
            <w:tcW w:w="862" w:type="dxa"/>
            <w:vMerge w:val="restart"/>
            <w:tcBorders>
              <w:top w:val="nil"/>
              <w:left w:val="single" w:sz="8" w:space="0" w:color="auto"/>
              <w:bottom w:val="single" w:sz="8" w:space="0" w:color="000000"/>
              <w:right w:val="single" w:sz="8" w:space="0" w:color="auto"/>
            </w:tcBorders>
            <w:shd w:val="clear" w:color="auto" w:fill="auto"/>
            <w:vAlign w:val="center"/>
            <w:hideMark/>
          </w:tcPr>
          <w:p w14:paraId="4D35BF15" w14:textId="77777777" w:rsidR="00ED365F" w:rsidRPr="00ED365F" w:rsidRDefault="00ED365F" w:rsidP="00ED365F">
            <w:pPr>
              <w:jc w:val="cente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D</w:t>
            </w:r>
          </w:p>
        </w:tc>
        <w:tc>
          <w:tcPr>
            <w:tcW w:w="1649" w:type="dxa"/>
            <w:tcBorders>
              <w:top w:val="nil"/>
              <w:left w:val="nil"/>
              <w:bottom w:val="single" w:sz="8" w:space="0" w:color="auto"/>
              <w:right w:val="single" w:sz="8" w:space="0" w:color="auto"/>
            </w:tcBorders>
            <w:shd w:val="clear" w:color="000000" w:fill="FFFFFF"/>
            <w:vAlign w:val="center"/>
            <w:hideMark/>
          </w:tcPr>
          <w:p w14:paraId="21F06C10"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Upper</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6E56B7" w14:textId="0D3C59DF" w:rsidR="00ED365F" w:rsidRPr="00ED365F" w:rsidRDefault="00910011"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40</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016718" w14:textId="091256CE" w:rsidR="00ED365F" w:rsidRPr="00ED365F" w:rsidRDefault="00910011"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84</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DD01E6" w14:textId="29A8E5A0" w:rsidR="00ED365F" w:rsidRPr="00ED365F" w:rsidRDefault="00281F57"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124</w:t>
            </w:r>
          </w:p>
        </w:tc>
        <w:tc>
          <w:tcPr>
            <w:tcW w:w="17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9EA9E6" w14:textId="2246367E" w:rsidR="00ED365F" w:rsidRPr="00ED365F" w:rsidRDefault="00E467F0" w:rsidP="00ED365F">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32.36</w:t>
            </w:r>
          </w:p>
        </w:tc>
        <w:tc>
          <w:tcPr>
            <w:tcW w:w="22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E8B21F" w14:textId="6D7C7451" w:rsidR="00ED365F" w:rsidRPr="00ED365F" w:rsidRDefault="00E467F0" w:rsidP="004A1F4C">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67.74</w:t>
            </w:r>
          </w:p>
        </w:tc>
      </w:tr>
      <w:tr w:rsidR="00ED365F" w:rsidRPr="00ED365F" w14:paraId="3434B4C5" w14:textId="77777777" w:rsidTr="00ED365F">
        <w:trPr>
          <w:trHeight w:val="1460"/>
        </w:trPr>
        <w:tc>
          <w:tcPr>
            <w:tcW w:w="862" w:type="dxa"/>
            <w:vMerge/>
            <w:tcBorders>
              <w:top w:val="nil"/>
              <w:left w:val="single" w:sz="8" w:space="0" w:color="auto"/>
              <w:bottom w:val="single" w:sz="8" w:space="0" w:color="000000"/>
              <w:right w:val="single" w:sz="8" w:space="0" w:color="auto"/>
            </w:tcBorders>
            <w:vAlign w:val="center"/>
            <w:hideMark/>
          </w:tcPr>
          <w:p w14:paraId="4CE1BF68" w14:textId="77777777" w:rsidR="00ED365F" w:rsidRPr="00ED365F" w:rsidRDefault="00ED365F" w:rsidP="00ED365F">
            <w:pPr>
              <w:rPr>
                <w:rFonts w:ascii="Century Gothic" w:hAnsi="Century Gothic" w:cs="Calibri"/>
                <w:color w:val="000000"/>
                <w:sz w:val="24"/>
                <w:szCs w:val="24"/>
                <w:lang w:eastAsia="en-GB"/>
              </w:rPr>
            </w:pPr>
          </w:p>
        </w:tc>
        <w:tc>
          <w:tcPr>
            <w:tcW w:w="1649" w:type="dxa"/>
            <w:tcBorders>
              <w:top w:val="nil"/>
              <w:left w:val="nil"/>
              <w:bottom w:val="single" w:sz="8" w:space="0" w:color="auto"/>
              <w:right w:val="single" w:sz="8" w:space="0" w:color="auto"/>
            </w:tcBorders>
            <w:shd w:val="clear" w:color="000000" w:fill="FFFFFF"/>
            <w:vAlign w:val="center"/>
            <w:hideMark/>
          </w:tcPr>
          <w:p w14:paraId="0B78D805"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(75–100% of full-pay relevant employees)</w:t>
            </w:r>
          </w:p>
        </w:tc>
        <w:tc>
          <w:tcPr>
            <w:tcW w:w="1168" w:type="dxa"/>
            <w:vMerge/>
            <w:tcBorders>
              <w:top w:val="nil"/>
              <w:left w:val="single" w:sz="8" w:space="0" w:color="auto"/>
              <w:bottom w:val="single" w:sz="8" w:space="0" w:color="000000"/>
              <w:right w:val="single" w:sz="8" w:space="0" w:color="auto"/>
            </w:tcBorders>
            <w:vAlign w:val="center"/>
            <w:hideMark/>
          </w:tcPr>
          <w:p w14:paraId="3603E61F"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4EA016D7" w14:textId="77777777" w:rsidR="00ED365F" w:rsidRPr="00ED365F" w:rsidRDefault="00ED365F" w:rsidP="00ED365F">
            <w:pPr>
              <w:rPr>
                <w:rFonts w:ascii="Century Gothic" w:hAnsi="Century Gothic" w:cs="Calibri"/>
                <w:color w:val="000000"/>
                <w:sz w:val="24"/>
                <w:szCs w:val="24"/>
                <w:lang w:eastAsia="en-GB"/>
              </w:rPr>
            </w:pPr>
          </w:p>
        </w:tc>
        <w:tc>
          <w:tcPr>
            <w:tcW w:w="1168" w:type="dxa"/>
            <w:vMerge/>
            <w:tcBorders>
              <w:top w:val="nil"/>
              <w:left w:val="single" w:sz="8" w:space="0" w:color="auto"/>
              <w:bottom w:val="single" w:sz="8" w:space="0" w:color="000000"/>
              <w:right w:val="single" w:sz="8" w:space="0" w:color="auto"/>
            </w:tcBorders>
            <w:vAlign w:val="center"/>
            <w:hideMark/>
          </w:tcPr>
          <w:p w14:paraId="6E991F4D" w14:textId="77777777" w:rsidR="00ED365F" w:rsidRPr="00ED365F" w:rsidRDefault="00ED365F" w:rsidP="00ED365F">
            <w:pPr>
              <w:rPr>
                <w:rFonts w:ascii="Century Gothic" w:hAnsi="Century Gothic" w:cs="Calibri"/>
                <w:color w:val="000000"/>
                <w:sz w:val="24"/>
                <w:szCs w:val="24"/>
                <w:lang w:eastAsia="en-GB"/>
              </w:rPr>
            </w:pPr>
          </w:p>
        </w:tc>
        <w:tc>
          <w:tcPr>
            <w:tcW w:w="1772" w:type="dxa"/>
            <w:vMerge/>
            <w:tcBorders>
              <w:top w:val="nil"/>
              <w:left w:val="single" w:sz="8" w:space="0" w:color="auto"/>
              <w:bottom w:val="single" w:sz="8" w:space="0" w:color="000000"/>
              <w:right w:val="single" w:sz="8" w:space="0" w:color="auto"/>
            </w:tcBorders>
            <w:vAlign w:val="center"/>
            <w:hideMark/>
          </w:tcPr>
          <w:p w14:paraId="0352CE14" w14:textId="77777777" w:rsidR="00ED365F" w:rsidRPr="00ED365F" w:rsidRDefault="00ED365F" w:rsidP="00ED365F">
            <w:pPr>
              <w:rPr>
                <w:rFonts w:ascii="Century Gothic" w:hAnsi="Century Gothic" w:cs="Calibri"/>
                <w:color w:val="000000"/>
                <w:sz w:val="24"/>
                <w:szCs w:val="24"/>
                <w:lang w:eastAsia="en-GB"/>
              </w:rPr>
            </w:pPr>
          </w:p>
        </w:tc>
        <w:tc>
          <w:tcPr>
            <w:tcW w:w="2203" w:type="dxa"/>
            <w:vMerge/>
            <w:tcBorders>
              <w:top w:val="nil"/>
              <w:left w:val="single" w:sz="8" w:space="0" w:color="auto"/>
              <w:bottom w:val="single" w:sz="8" w:space="0" w:color="000000"/>
              <w:right w:val="single" w:sz="8" w:space="0" w:color="auto"/>
            </w:tcBorders>
            <w:vAlign w:val="center"/>
            <w:hideMark/>
          </w:tcPr>
          <w:p w14:paraId="1AB8878C" w14:textId="77777777" w:rsidR="00ED365F" w:rsidRPr="00ED365F" w:rsidRDefault="00ED365F" w:rsidP="004A1F4C">
            <w:pPr>
              <w:jc w:val="center"/>
              <w:rPr>
                <w:rFonts w:ascii="Century Gothic" w:hAnsi="Century Gothic" w:cs="Calibri"/>
                <w:color w:val="000000"/>
                <w:sz w:val="24"/>
                <w:szCs w:val="24"/>
                <w:lang w:eastAsia="en-GB"/>
              </w:rPr>
            </w:pPr>
          </w:p>
        </w:tc>
      </w:tr>
      <w:tr w:rsidR="00ED365F" w:rsidRPr="00ED365F" w14:paraId="5B680FD8" w14:textId="77777777" w:rsidTr="00ED365F">
        <w:trPr>
          <w:trHeight w:val="212"/>
        </w:trPr>
        <w:tc>
          <w:tcPr>
            <w:tcW w:w="862" w:type="dxa"/>
            <w:tcBorders>
              <w:top w:val="nil"/>
              <w:left w:val="single" w:sz="8" w:space="0" w:color="auto"/>
              <w:bottom w:val="single" w:sz="8" w:space="0" w:color="auto"/>
              <w:right w:val="single" w:sz="8" w:space="0" w:color="auto"/>
            </w:tcBorders>
            <w:shd w:val="clear" w:color="auto" w:fill="auto"/>
            <w:vAlign w:val="center"/>
            <w:hideMark/>
          </w:tcPr>
          <w:p w14:paraId="6507A8CE" w14:textId="77777777" w:rsidR="00ED365F" w:rsidRPr="00ED365F" w:rsidRDefault="00ED365F" w:rsidP="00ED365F">
            <w:pPr>
              <w:rPr>
                <w:rFonts w:ascii="Century Gothic" w:hAnsi="Century Gothic" w:cs="Calibri"/>
                <w:color w:val="000000"/>
                <w:lang w:eastAsia="en-GB"/>
              </w:rPr>
            </w:pPr>
            <w:r w:rsidRPr="00ED365F">
              <w:rPr>
                <w:rFonts w:ascii="Century Gothic" w:hAnsi="Century Gothic" w:cs="Calibri"/>
                <w:color w:val="000000"/>
                <w:lang w:eastAsia="en-GB"/>
              </w:rPr>
              <w:t> </w:t>
            </w:r>
          </w:p>
        </w:tc>
        <w:tc>
          <w:tcPr>
            <w:tcW w:w="1649" w:type="dxa"/>
            <w:tcBorders>
              <w:top w:val="nil"/>
              <w:left w:val="nil"/>
              <w:bottom w:val="single" w:sz="8" w:space="0" w:color="auto"/>
              <w:right w:val="single" w:sz="8" w:space="0" w:color="auto"/>
            </w:tcBorders>
            <w:shd w:val="clear" w:color="000000" w:fill="B4C5E7"/>
            <w:vAlign w:val="center"/>
            <w:hideMark/>
          </w:tcPr>
          <w:p w14:paraId="71E3CC5C" w14:textId="77777777" w:rsidR="00ED365F" w:rsidRPr="00ED365F" w:rsidRDefault="00ED365F" w:rsidP="00ED365F">
            <w:pPr>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Total</w:t>
            </w:r>
          </w:p>
        </w:tc>
        <w:tc>
          <w:tcPr>
            <w:tcW w:w="1168" w:type="dxa"/>
            <w:tcBorders>
              <w:top w:val="nil"/>
              <w:left w:val="nil"/>
              <w:bottom w:val="single" w:sz="8" w:space="0" w:color="auto"/>
              <w:right w:val="single" w:sz="8" w:space="0" w:color="auto"/>
            </w:tcBorders>
            <w:shd w:val="clear" w:color="000000" w:fill="B4C5E7"/>
            <w:vAlign w:val="center"/>
            <w:hideMark/>
          </w:tcPr>
          <w:p w14:paraId="4B23EA58" w14:textId="6769B4D0" w:rsidR="00ED365F" w:rsidRPr="00ED365F" w:rsidRDefault="00ED365F" w:rsidP="00ED365F">
            <w:pPr>
              <w:jc w:val="right"/>
              <w:rPr>
                <w:rFonts w:ascii="Century Gothic" w:hAnsi="Century Gothic" w:cs="Calibri"/>
                <w:color w:val="000000"/>
                <w:sz w:val="24"/>
                <w:szCs w:val="24"/>
                <w:lang w:eastAsia="en-GB"/>
              </w:rPr>
            </w:pPr>
            <w:r w:rsidRPr="00ED365F">
              <w:rPr>
                <w:rFonts w:ascii="Century Gothic" w:hAnsi="Century Gothic" w:cs="Calibri"/>
                <w:color w:val="000000"/>
                <w:sz w:val="24"/>
                <w:szCs w:val="24"/>
                <w:lang w:eastAsia="en-GB"/>
              </w:rPr>
              <w:t>14</w:t>
            </w:r>
            <w:r w:rsidR="00F20A68">
              <w:rPr>
                <w:rFonts w:ascii="Century Gothic" w:hAnsi="Century Gothic" w:cs="Calibri"/>
                <w:color w:val="000000"/>
                <w:sz w:val="24"/>
                <w:szCs w:val="24"/>
                <w:lang w:eastAsia="en-GB"/>
              </w:rPr>
              <w:t>9</w:t>
            </w:r>
          </w:p>
        </w:tc>
        <w:tc>
          <w:tcPr>
            <w:tcW w:w="1168" w:type="dxa"/>
            <w:tcBorders>
              <w:top w:val="nil"/>
              <w:left w:val="nil"/>
              <w:bottom w:val="single" w:sz="8" w:space="0" w:color="auto"/>
              <w:right w:val="single" w:sz="8" w:space="0" w:color="auto"/>
            </w:tcBorders>
            <w:shd w:val="clear" w:color="000000" w:fill="B4C5E7"/>
            <w:vAlign w:val="center"/>
            <w:hideMark/>
          </w:tcPr>
          <w:p w14:paraId="3BE214CD" w14:textId="7B3C0114" w:rsidR="00ED365F" w:rsidRPr="00ED365F" w:rsidRDefault="00F20A68"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347</w:t>
            </w:r>
          </w:p>
        </w:tc>
        <w:tc>
          <w:tcPr>
            <w:tcW w:w="1168" w:type="dxa"/>
            <w:tcBorders>
              <w:top w:val="nil"/>
              <w:left w:val="nil"/>
              <w:bottom w:val="single" w:sz="8" w:space="0" w:color="auto"/>
              <w:right w:val="single" w:sz="8" w:space="0" w:color="auto"/>
            </w:tcBorders>
            <w:shd w:val="clear" w:color="000000" w:fill="B4C5E7"/>
            <w:vAlign w:val="center"/>
            <w:hideMark/>
          </w:tcPr>
          <w:p w14:paraId="6B44C65A" w14:textId="7F50D8E0" w:rsidR="00ED365F" w:rsidRPr="00ED365F" w:rsidRDefault="00F20A68" w:rsidP="00ED365F">
            <w:pPr>
              <w:jc w:val="right"/>
              <w:rPr>
                <w:rFonts w:ascii="Century Gothic" w:hAnsi="Century Gothic" w:cs="Calibri"/>
                <w:color w:val="000000"/>
                <w:sz w:val="24"/>
                <w:szCs w:val="24"/>
                <w:lang w:eastAsia="en-GB"/>
              </w:rPr>
            </w:pPr>
            <w:r>
              <w:rPr>
                <w:rFonts w:ascii="Century Gothic" w:hAnsi="Century Gothic" w:cs="Calibri"/>
                <w:color w:val="000000"/>
                <w:sz w:val="24"/>
                <w:szCs w:val="24"/>
                <w:lang w:eastAsia="en-GB"/>
              </w:rPr>
              <w:t>496</w:t>
            </w:r>
          </w:p>
        </w:tc>
        <w:tc>
          <w:tcPr>
            <w:tcW w:w="1772" w:type="dxa"/>
            <w:tcBorders>
              <w:top w:val="nil"/>
              <w:left w:val="nil"/>
              <w:bottom w:val="single" w:sz="8" w:space="0" w:color="auto"/>
              <w:right w:val="single" w:sz="8" w:space="0" w:color="auto"/>
            </w:tcBorders>
            <w:shd w:val="clear" w:color="000000" w:fill="B4C5E7"/>
            <w:vAlign w:val="center"/>
            <w:hideMark/>
          </w:tcPr>
          <w:p w14:paraId="487A4848" w14:textId="6E4CAFD4" w:rsidR="00ED365F" w:rsidRPr="00ED365F" w:rsidRDefault="00E467F0" w:rsidP="00ED365F">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30.04</w:t>
            </w:r>
            <w:r w:rsidR="00F20A68">
              <w:rPr>
                <w:rFonts w:ascii="Century Gothic" w:hAnsi="Century Gothic" w:cs="Calibri"/>
                <w:color w:val="000000"/>
                <w:sz w:val="24"/>
                <w:szCs w:val="24"/>
                <w:lang w:eastAsia="en-GB"/>
              </w:rPr>
              <w:t>%</w:t>
            </w:r>
          </w:p>
        </w:tc>
        <w:tc>
          <w:tcPr>
            <w:tcW w:w="2203" w:type="dxa"/>
            <w:tcBorders>
              <w:top w:val="nil"/>
              <w:left w:val="nil"/>
              <w:bottom w:val="single" w:sz="8" w:space="0" w:color="auto"/>
              <w:right w:val="single" w:sz="8" w:space="0" w:color="auto"/>
            </w:tcBorders>
            <w:shd w:val="clear" w:color="000000" w:fill="B4C5E7"/>
            <w:vAlign w:val="center"/>
            <w:hideMark/>
          </w:tcPr>
          <w:p w14:paraId="1633C70E" w14:textId="623F6C59" w:rsidR="00ED365F" w:rsidRPr="00ED365F" w:rsidRDefault="00E467F0" w:rsidP="004A1F4C">
            <w:pPr>
              <w:jc w:val="center"/>
              <w:rPr>
                <w:rFonts w:ascii="Century Gothic" w:hAnsi="Century Gothic" w:cs="Calibri"/>
                <w:color w:val="000000"/>
                <w:sz w:val="24"/>
                <w:szCs w:val="24"/>
                <w:lang w:eastAsia="en-GB"/>
              </w:rPr>
            </w:pPr>
            <w:r>
              <w:rPr>
                <w:rFonts w:ascii="Century Gothic" w:hAnsi="Century Gothic" w:cs="Calibri"/>
                <w:color w:val="000000"/>
                <w:sz w:val="24"/>
                <w:szCs w:val="24"/>
                <w:lang w:eastAsia="en-GB"/>
              </w:rPr>
              <w:t>69.96</w:t>
            </w:r>
            <w:r w:rsidR="00ED365F" w:rsidRPr="00ED365F">
              <w:rPr>
                <w:rFonts w:ascii="Century Gothic" w:hAnsi="Century Gothic" w:cs="Calibri"/>
                <w:color w:val="000000"/>
                <w:sz w:val="24"/>
                <w:szCs w:val="24"/>
                <w:lang w:eastAsia="en-GB"/>
              </w:rPr>
              <w:t>%</w:t>
            </w:r>
          </w:p>
        </w:tc>
      </w:tr>
    </w:tbl>
    <w:p w14:paraId="2EB8001E" w14:textId="77777777" w:rsidR="009B12DE" w:rsidRDefault="009B12DE" w:rsidP="009B12DE">
      <w:pPr>
        <w:pStyle w:val="BodyText"/>
        <w:spacing w:before="11"/>
        <w:rPr>
          <w:rFonts w:ascii="Century Gothic" w:hAnsi="Century Gothic"/>
          <w:sz w:val="23"/>
        </w:rPr>
      </w:pPr>
    </w:p>
    <w:p w14:paraId="63E94927" w14:textId="77777777" w:rsidR="009B12DE" w:rsidRDefault="009B12DE" w:rsidP="009B12DE">
      <w:pPr>
        <w:pStyle w:val="BodyText"/>
        <w:spacing w:before="11"/>
        <w:rPr>
          <w:rFonts w:ascii="Century Gothic" w:hAnsi="Century Gothic"/>
          <w:sz w:val="23"/>
        </w:rPr>
      </w:pPr>
    </w:p>
    <w:p w14:paraId="07A8373C" w14:textId="77777777" w:rsidR="009B12DE" w:rsidRPr="002F1507" w:rsidRDefault="009B12DE" w:rsidP="009B12DE">
      <w:pPr>
        <w:pStyle w:val="BodyText"/>
        <w:spacing w:before="11"/>
        <w:rPr>
          <w:rFonts w:ascii="Century Gothic" w:hAnsi="Century Gothic"/>
          <w:sz w:val="23"/>
        </w:rPr>
      </w:pPr>
    </w:p>
    <w:p w14:paraId="5B5BB902" w14:textId="31B97CF4" w:rsidR="009B12DE" w:rsidRDefault="009B12DE" w:rsidP="009B12DE">
      <w:pPr>
        <w:pStyle w:val="BodyText"/>
        <w:ind w:left="478" w:right="340"/>
        <w:rPr>
          <w:rFonts w:ascii="Century Gothic" w:hAnsi="Century Gothic"/>
        </w:rPr>
      </w:pPr>
      <w:r w:rsidRPr="002F1507">
        <w:rPr>
          <w:rFonts w:ascii="Century Gothic" w:hAnsi="Century Gothic"/>
        </w:rPr>
        <w:t>The figures set out above have been calculated using the standard methodologies used in the Equality Act 2010 (Gender Pay Gap Information) Regulations 2017.</w:t>
      </w:r>
    </w:p>
    <w:p w14:paraId="33FB7AE7" w14:textId="51A6B6B9" w:rsidR="003E21F4" w:rsidRDefault="003E21F4" w:rsidP="009B12DE">
      <w:pPr>
        <w:pStyle w:val="BodyText"/>
        <w:ind w:left="478" w:right="340"/>
        <w:rPr>
          <w:rFonts w:ascii="Century Gothic" w:hAnsi="Century Gothic"/>
        </w:rPr>
      </w:pPr>
    </w:p>
    <w:p w14:paraId="2F681A4C" w14:textId="4AB2AF2F" w:rsidR="00B052E1" w:rsidRDefault="003E21F4" w:rsidP="009B12DE">
      <w:pPr>
        <w:pStyle w:val="BodyText"/>
        <w:ind w:left="478" w:right="340"/>
        <w:rPr>
          <w:rFonts w:ascii="Century Gothic" w:hAnsi="Century Gothic"/>
        </w:rPr>
      </w:pPr>
      <w:r>
        <w:rPr>
          <w:rFonts w:ascii="Century Gothic" w:hAnsi="Century Gothic"/>
        </w:rPr>
        <w:t xml:space="preserve">Analysis of the trends in the gender pay gap should be considered over a long </w:t>
      </w:r>
      <w:r w:rsidR="00B052E1">
        <w:rPr>
          <w:rFonts w:ascii="Century Gothic" w:hAnsi="Century Gothic"/>
        </w:rPr>
        <w:t>period</w:t>
      </w:r>
      <w:r>
        <w:rPr>
          <w:rFonts w:ascii="Century Gothic" w:hAnsi="Century Gothic"/>
        </w:rPr>
        <w:t>.</w:t>
      </w:r>
      <w:r w:rsidR="00B052E1">
        <w:rPr>
          <w:rFonts w:ascii="Century Gothic" w:hAnsi="Century Gothic"/>
        </w:rPr>
        <w:t xml:space="preserve"> In the past 4 years</w:t>
      </w:r>
      <w:r w:rsidR="00E722C8">
        <w:rPr>
          <w:rFonts w:ascii="Century Gothic" w:hAnsi="Century Gothic"/>
        </w:rPr>
        <w:t xml:space="preserve"> the Gender Pay Gap for both the mean and median</w:t>
      </w:r>
      <w:r w:rsidR="002A4FBF">
        <w:rPr>
          <w:rFonts w:ascii="Century Gothic" w:hAnsi="Century Gothic"/>
        </w:rPr>
        <w:t xml:space="preserve"> has fallen and is now at its lowest</w:t>
      </w:r>
      <w:r w:rsidR="00EB2692">
        <w:rPr>
          <w:rFonts w:ascii="Century Gothic" w:hAnsi="Century Gothic"/>
        </w:rPr>
        <w:t xml:space="preserve"> with a significant decrease for this year.</w:t>
      </w:r>
    </w:p>
    <w:p w14:paraId="0AEAD037" w14:textId="77777777" w:rsidR="00EB2692" w:rsidRDefault="00EB2692" w:rsidP="009B12DE">
      <w:pPr>
        <w:pStyle w:val="BodyText"/>
        <w:ind w:left="478" w:right="340"/>
        <w:rPr>
          <w:rFonts w:ascii="Century Gothic" w:hAnsi="Century Gothic"/>
        </w:rPr>
      </w:pPr>
    </w:p>
    <w:p w14:paraId="2E10B8C9" w14:textId="5994B960" w:rsidR="00EB2692" w:rsidRDefault="00EB2692" w:rsidP="009B12DE">
      <w:pPr>
        <w:pStyle w:val="BodyText"/>
        <w:ind w:left="478" w:right="340"/>
        <w:rPr>
          <w:rFonts w:ascii="Century Gothic" w:hAnsi="Century Gothic"/>
        </w:rPr>
      </w:pPr>
      <w:r>
        <w:rPr>
          <w:rFonts w:ascii="Century Gothic" w:hAnsi="Century Gothic"/>
        </w:rPr>
        <w:t>This can be attributed to an increase in females in the top pay quartile, and an increase in males in the lowest quartile.</w:t>
      </w:r>
    </w:p>
    <w:p w14:paraId="7C76D69D" w14:textId="77777777" w:rsidR="00670650" w:rsidRDefault="00670650" w:rsidP="00EB2692">
      <w:pPr>
        <w:pStyle w:val="BodyText"/>
        <w:ind w:right="340"/>
        <w:rPr>
          <w:rFonts w:ascii="Century Gothic" w:hAnsi="Century Gothic"/>
        </w:rPr>
      </w:pPr>
    </w:p>
    <w:tbl>
      <w:tblPr>
        <w:tblW w:w="9347" w:type="dxa"/>
        <w:tblLook w:val="04A0" w:firstRow="1" w:lastRow="0" w:firstColumn="1" w:lastColumn="0" w:noHBand="0" w:noVBand="1"/>
      </w:tblPr>
      <w:tblGrid>
        <w:gridCol w:w="823"/>
        <w:gridCol w:w="875"/>
        <w:gridCol w:w="3564"/>
        <w:gridCol w:w="965"/>
        <w:gridCol w:w="3120"/>
      </w:tblGrid>
      <w:tr w:rsidR="00812C96" w:rsidRPr="00812C96" w14:paraId="5B74BD63" w14:textId="77777777" w:rsidTr="00812C96">
        <w:trPr>
          <w:trHeight w:val="390"/>
        </w:trPr>
        <w:tc>
          <w:tcPr>
            <w:tcW w:w="823" w:type="dxa"/>
            <w:tcBorders>
              <w:top w:val="single" w:sz="8" w:space="0" w:color="auto"/>
              <w:left w:val="single" w:sz="8" w:space="0" w:color="auto"/>
              <w:bottom w:val="single" w:sz="8" w:space="0" w:color="auto"/>
              <w:right w:val="single" w:sz="8" w:space="0" w:color="auto"/>
            </w:tcBorders>
            <w:shd w:val="clear" w:color="000000" w:fill="2E74B5"/>
            <w:noWrap/>
            <w:vAlign w:val="center"/>
            <w:hideMark/>
          </w:tcPr>
          <w:p w14:paraId="3AD867A5" w14:textId="77777777" w:rsidR="00812C96" w:rsidRPr="00812C96" w:rsidRDefault="00812C96" w:rsidP="00812C96">
            <w:pPr>
              <w:jc w:val="center"/>
              <w:rPr>
                <w:rFonts w:ascii="Calibri" w:hAnsi="Calibri" w:cs="Calibri"/>
                <w:b/>
                <w:bCs/>
                <w:color w:val="000000"/>
                <w:sz w:val="28"/>
                <w:szCs w:val="28"/>
                <w:lang w:eastAsia="en-GB"/>
              </w:rPr>
            </w:pPr>
            <w:r w:rsidRPr="00812C96">
              <w:rPr>
                <w:rFonts w:ascii="Calibri" w:hAnsi="Calibri" w:cs="Calibri"/>
                <w:b/>
                <w:bCs/>
                <w:color w:val="000000"/>
                <w:sz w:val="28"/>
                <w:szCs w:val="28"/>
                <w:lang w:eastAsia="en-GB"/>
              </w:rPr>
              <w:t>Year</w:t>
            </w:r>
          </w:p>
        </w:tc>
        <w:tc>
          <w:tcPr>
            <w:tcW w:w="8524" w:type="dxa"/>
            <w:gridSpan w:val="4"/>
            <w:tcBorders>
              <w:top w:val="single" w:sz="8" w:space="0" w:color="auto"/>
              <w:left w:val="nil"/>
              <w:bottom w:val="single" w:sz="8" w:space="0" w:color="auto"/>
              <w:right w:val="single" w:sz="8" w:space="0" w:color="000000"/>
            </w:tcBorders>
            <w:shd w:val="clear" w:color="000000" w:fill="2E74B5"/>
            <w:noWrap/>
            <w:vAlign w:val="center"/>
            <w:hideMark/>
          </w:tcPr>
          <w:p w14:paraId="1B0CF737" w14:textId="77777777" w:rsidR="00812C96" w:rsidRPr="00812C96" w:rsidRDefault="00812C96" w:rsidP="00812C96">
            <w:pPr>
              <w:jc w:val="center"/>
              <w:rPr>
                <w:rFonts w:ascii="Calibri" w:hAnsi="Calibri" w:cs="Calibri"/>
                <w:b/>
                <w:bCs/>
                <w:color w:val="000000"/>
                <w:sz w:val="28"/>
                <w:szCs w:val="28"/>
                <w:lang w:eastAsia="en-GB"/>
              </w:rPr>
            </w:pPr>
            <w:r w:rsidRPr="00812C96">
              <w:rPr>
                <w:rFonts w:ascii="Calibri" w:hAnsi="Calibri" w:cs="Calibri"/>
                <w:b/>
                <w:bCs/>
                <w:color w:val="000000"/>
                <w:sz w:val="28"/>
                <w:szCs w:val="28"/>
                <w:lang w:eastAsia="en-GB"/>
              </w:rPr>
              <w:t>Gender Pay Gap movement over time</w:t>
            </w:r>
          </w:p>
        </w:tc>
      </w:tr>
      <w:tr w:rsidR="00812C96" w:rsidRPr="00812C96" w14:paraId="63719294" w14:textId="77777777" w:rsidTr="00812C96">
        <w:trPr>
          <w:trHeight w:val="315"/>
        </w:trPr>
        <w:tc>
          <w:tcPr>
            <w:tcW w:w="8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9278F3" w14:textId="77777777"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2021</w:t>
            </w:r>
          </w:p>
        </w:tc>
        <w:tc>
          <w:tcPr>
            <w:tcW w:w="875" w:type="dxa"/>
            <w:tcBorders>
              <w:top w:val="nil"/>
              <w:left w:val="nil"/>
              <w:bottom w:val="single" w:sz="8" w:space="0" w:color="auto"/>
              <w:right w:val="single" w:sz="8" w:space="0" w:color="auto"/>
            </w:tcBorders>
            <w:shd w:val="clear" w:color="auto" w:fill="auto"/>
            <w:noWrap/>
            <w:vAlign w:val="center"/>
            <w:hideMark/>
          </w:tcPr>
          <w:p w14:paraId="1636D108"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£26.91</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4FFDCFB6"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men</w:t>
            </w:r>
          </w:p>
        </w:tc>
        <w:tc>
          <w:tcPr>
            <w:tcW w:w="965" w:type="dxa"/>
            <w:tcBorders>
              <w:top w:val="nil"/>
              <w:left w:val="nil"/>
              <w:bottom w:val="single" w:sz="8" w:space="0" w:color="auto"/>
              <w:right w:val="single" w:sz="8" w:space="0" w:color="auto"/>
            </w:tcBorders>
            <w:shd w:val="clear" w:color="auto" w:fill="auto"/>
            <w:noWrap/>
            <w:vAlign w:val="center"/>
            <w:hideMark/>
          </w:tcPr>
          <w:p w14:paraId="57164E9C"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32.59</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0DD29A2E"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men</w:t>
            </w:r>
          </w:p>
        </w:tc>
      </w:tr>
      <w:tr w:rsidR="00812C96" w:rsidRPr="00812C96" w14:paraId="0634983C"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171116A1"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059DD052"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£22.19</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124D8540"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women</w:t>
            </w:r>
          </w:p>
        </w:tc>
        <w:tc>
          <w:tcPr>
            <w:tcW w:w="965" w:type="dxa"/>
            <w:tcBorders>
              <w:top w:val="nil"/>
              <w:left w:val="nil"/>
              <w:bottom w:val="single" w:sz="8" w:space="0" w:color="auto"/>
              <w:right w:val="single" w:sz="8" w:space="0" w:color="auto"/>
            </w:tcBorders>
            <w:shd w:val="clear" w:color="auto" w:fill="auto"/>
            <w:noWrap/>
            <w:vAlign w:val="center"/>
            <w:hideMark/>
          </w:tcPr>
          <w:p w14:paraId="42FDA937"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23.51</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185168F7"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women</w:t>
            </w:r>
          </w:p>
        </w:tc>
      </w:tr>
      <w:tr w:rsidR="00812C96" w:rsidRPr="00812C96" w14:paraId="55EA3802"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2AC0FABC"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485FB5F8"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17.54%</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1AD4C35D"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gender pay gap</w:t>
            </w:r>
          </w:p>
        </w:tc>
        <w:tc>
          <w:tcPr>
            <w:tcW w:w="965" w:type="dxa"/>
            <w:tcBorders>
              <w:top w:val="nil"/>
              <w:left w:val="nil"/>
              <w:bottom w:val="single" w:sz="8" w:space="0" w:color="auto"/>
              <w:right w:val="single" w:sz="8" w:space="0" w:color="auto"/>
            </w:tcBorders>
            <w:shd w:val="clear" w:color="auto" w:fill="auto"/>
            <w:noWrap/>
            <w:vAlign w:val="center"/>
            <w:hideMark/>
          </w:tcPr>
          <w:p w14:paraId="6F577936"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27.86%</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09D1EFD3"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gender pay gap</w:t>
            </w:r>
          </w:p>
        </w:tc>
      </w:tr>
      <w:tr w:rsidR="00812C96" w:rsidRPr="00812C96" w14:paraId="140E75EC" w14:textId="77777777" w:rsidTr="00812C96">
        <w:trPr>
          <w:trHeight w:val="287"/>
        </w:trPr>
        <w:tc>
          <w:tcPr>
            <w:tcW w:w="9347" w:type="dxa"/>
            <w:gridSpan w:val="5"/>
            <w:tcBorders>
              <w:top w:val="nil"/>
              <w:left w:val="single" w:sz="8" w:space="0" w:color="auto"/>
              <w:bottom w:val="single" w:sz="8" w:space="0" w:color="auto"/>
              <w:right w:val="single" w:sz="8" w:space="0" w:color="auto"/>
            </w:tcBorders>
            <w:shd w:val="clear" w:color="000000" w:fill="D0CECE"/>
            <w:noWrap/>
            <w:vAlign w:val="center"/>
            <w:hideMark/>
          </w:tcPr>
          <w:p w14:paraId="3E065598" w14:textId="45D0BF63" w:rsidR="00812C96" w:rsidRPr="00812C96" w:rsidRDefault="00812C96" w:rsidP="00812C96">
            <w:pPr>
              <w:rPr>
                <w:rFonts w:ascii="Calibri" w:hAnsi="Calibri" w:cs="Calibri"/>
                <w:color w:val="000000"/>
                <w:sz w:val="28"/>
                <w:szCs w:val="28"/>
                <w:lang w:eastAsia="en-GB"/>
              </w:rPr>
            </w:pPr>
            <w:r w:rsidRPr="00812C96">
              <w:rPr>
                <w:rFonts w:ascii="Calibri" w:hAnsi="Calibri" w:cs="Calibri"/>
                <w:color w:val="000000"/>
                <w:sz w:val="28"/>
                <w:szCs w:val="28"/>
                <w:lang w:eastAsia="en-GB"/>
              </w:rPr>
              <w:t> </w:t>
            </w:r>
          </w:p>
        </w:tc>
      </w:tr>
      <w:tr w:rsidR="00812C96" w:rsidRPr="00812C96" w14:paraId="0D9352B1" w14:textId="77777777" w:rsidTr="00812C96">
        <w:trPr>
          <w:trHeight w:val="315"/>
        </w:trPr>
        <w:tc>
          <w:tcPr>
            <w:tcW w:w="8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CEA013" w14:textId="77777777"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2022</w:t>
            </w:r>
          </w:p>
        </w:tc>
        <w:tc>
          <w:tcPr>
            <w:tcW w:w="875" w:type="dxa"/>
            <w:tcBorders>
              <w:top w:val="nil"/>
              <w:left w:val="nil"/>
              <w:bottom w:val="single" w:sz="8" w:space="0" w:color="auto"/>
              <w:right w:val="single" w:sz="8" w:space="0" w:color="auto"/>
            </w:tcBorders>
            <w:shd w:val="clear" w:color="auto" w:fill="auto"/>
            <w:noWrap/>
            <w:vAlign w:val="center"/>
            <w:hideMark/>
          </w:tcPr>
          <w:p w14:paraId="56DFBB5D"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£26.87</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6023BD0B"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men</w:t>
            </w:r>
          </w:p>
        </w:tc>
        <w:tc>
          <w:tcPr>
            <w:tcW w:w="965" w:type="dxa"/>
            <w:tcBorders>
              <w:top w:val="nil"/>
              <w:left w:val="nil"/>
              <w:bottom w:val="single" w:sz="8" w:space="0" w:color="auto"/>
              <w:right w:val="single" w:sz="8" w:space="0" w:color="auto"/>
            </w:tcBorders>
            <w:shd w:val="clear" w:color="auto" w:fill="auto"/>
            <w:noWrap/>
            <w:vAlign w:val="center"/>
            <w:hideMark/>
          </w:tcPr>
          <w:p w14:paraId="56183C2A"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£33.32</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7AC90A0B"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men</w:t>
            </w:r>
          </w:p>
        </w:tc>
      </w:tr>
      <w:tr w:rsidR="00812C96" w:rsidRPr="00812C96" w14:paraId="681CDDC2"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67D80C2B"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6657AC7A"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£22.40</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4C80C2E0"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women</w:t>
            </w:r>
          </w:p>
        </w:tc>
        <w:tc>
          <w:tcPr>
            <w:tcW w:w="965" w:type="dxa"/>
            <w:tcBorders>
              <w:top w:val="nil"/>
              <w:left w:val="nil"/>
              <w:bottom w:val="single" w:sz="8" w:space="0" w:color="auto"/>
              <w:right w:val="single" w:sz="8" w:space="0" w:color="auto"/>
            </w:tcBorders>
            <w:shd w:val="clear" w:color="auto" w:fill="auto"/>
            <w:noWrap/>
            <w:vAlign w:val="center"/>
            <w:hideMark/>
          </w:tcPr>
          <w:p w14:paraId="02C0DD33"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£23.22</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3BF2AE7E"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women</w:t>
            </w:r>
          </w:p>
        </w:tc>
      </w:tr>
      <w:tr w:rsidR="00812C96" w:rsidRPr="00812C96" w14:paraId="67AE83EC"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36743EFB"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24A1056B"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16.11%</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5059925E"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gender pay gap</w:t>
            </w:r>
          </w:p>
        </w:tc>
        <w:tc>
          <w:tcPr>
            <w:tcW w:w="965" w:type="dxa"/>
            <w:tcBorders>
              <w:top w:val="nil"/>
              <w:left w:val="nil"/>
              <w:bottom w:val="single" w:sz="8" w:space="0" w:color="auto"/>
              <w:right w:val="single" w:sz="8" w:space="0" w:color="auto"/>
            </w:tcBorders>
            <w:shd w:val="clear" w:color="auto" w:fill="auto"/>
            <w:noWrap/>
            <w:vAlign w:val="center"/>
            <w:hideMark/>
          </w:tcPr>
          <w:p w14:paraId="1750F858"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30.33%</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1853F36E"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gender pay gap</w:t>
            </w:r>
          </w:p>
        </w:tc>
      </w:tr>
      <w:tr w:rsidR="00812C96" w:rsidRPr="00812C96" w14:paraId="7038C3E0" w14:textId="77777777" w:rsidTr="004D03E8">
        <w:trPr>
          <w:trHeight w:val="390"/>
        </w:trPr>
        <w:tc>
          <w:tcPr>
            <w:tcW w:w="9347" w:type="dxa"/>
            <w:gridSpan w:val="5"/>
            <w:tcBorders>
              <w:top w:val="nil"/>
              <w:left w:val="single" w:sz="8" w:space="0" w:color="auto"/>
              <w:bottom w:val="single" w:sz="8" w:space="0" w:color="auto"/>
              <w:right w:val="single" w:sz="8" w:space="0" w:color="auto"/>
            </w:tcBorders>
            <w:shd w:val="clear" w:color="000000" w:fill="D9D9D9"/>
            <w:noWrap/>
            <w:vAlign w:val="center"/>
            <w:hideMark/>
          </w:tcPr>
          <w:p w14:paraId="75FC6EEF" w14:textId="6FDB96B3"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 </w:t>
            </w:r>
            <w:r w:rsidRPr="00812C96">
              <w:rPr>
                <w:rFonts w:ascii="Calibri" w:hAnsi="Calibri" w:cs="Calibri"/>
                <w:color w:val="000000"/>
                <w:sz w:val="22"/>
                <w:szCs w:val="22"/>
                <w:lang w:eastAsia="en-GB"/>
              </w:rPr>
              <w:t> </w:t>
            </w:r>
          </w:p>
        </w:tc>
      </w:tr>
      <w:tr w:rsidR="00812C96" w:rsidRPr="00812C96" w14:paraId="5B56BBDE" w14:textId="77777777" w:rsidTr="00812C96">
        <w:trPr>
          <w:trHeight w:val="315"/>
        </w:trPr>
        <w:tc>
          <w:tcPr>
            <w:tcW w:w="8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BF6EB9" w14:textId="77777777"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2023</w:t>
            </w:r>
          </w:p>
        </w:tc>
        <w:tc>
          <w:tcPr>
            <w:tcW w:w="875" w:type="dxa"/>
            <w:tcBorders>
              <w:top w:val="nil"/>
              <w:left w:val="nil"/>
              <w:bottom w:val="single" w:sz="8" w:space="0" w:color="auto"/>
              <w:right w:val="single" w:sz="8" w:space="0" w:color="auto"/>
            </w:tcBorders>
            <w:shd w:val="clear" w:color="auto" w:fill="auto"/>
            <w:noWrap/>
            <w:vAlign w:val="center"/>
            <w:hideMark/>
          </w:tcPr>
          <w:p w14:paraId="67077CE8"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£27.97</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254FB7FC"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men</w:t>
            </w:r>
          </w:p>
        </w:tc>
        <w:tc>
          <w:tcPr>
            <w:tcW w:w="965" w:type="dxa"/>
            <w:tcBorders>
              <w:top w:val="nil"/>
              <w:left w:val="nil"/>
              <w:bottom w:val="single" w:sz="8" w:space="0" w:color="auto"/>
              <w:right w:val="single" w:sz="8" w:space="0" w:color="auto"/>
            </w:tcBorders>
            <w:shd w:val="clear" w:color="auto" w:fill="auto"/>
            <w:noWrap/>
            <w:vAlign w:val="center"/>
            <w:hideMark/>
          </w:tcPr>
          <w:p w14:paraId="7E520101"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£32.88</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2AFD87FD"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men</w:t>
            </w:r>
          </w:p>
        </w:tc>
      </w:tr>
      <w:tr w:rsidR="00812C96" w:rsidRPr="00812C96" w14:paraId="609C1212"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29720E03"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1790652E"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£23.54</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19865241"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women</w:t>
            </w:r>
          </w:p>
        </w:tc>
        <w:tc>
          <w:tcPr>
            <w:tcW w:w="965" w:type="dxa"/>
            <w:tcBorders>
              <w:top w:val="nil"/>
              <w:left w:val="nil"/>
              <w:bottom w:val="single" w:sz="8" w:space="0" w:color="auto"/>
              <w:right w:val="single" w:sz="8" w:space="0" w:color="auto"/>
            </w:tcBorders>
            <w:shd w:val="clear" w:color="auto" w:fill="auto"/>
            <w:noWrap/>
            <w:vAlign w:val="center"/>
            <w:hideMark/>
          </w:tcPr>
          <w:p w14:paraId="510E5876"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£23.23</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2E648055"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women</w:t>
            </w:r>
          </w:p>
        </w:tc>
      </w:tr>
      <w:tr w:rsidR="00812C96" w:rsidRPr="00812C96" w14:paraId="0C1836A4"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5E6E2A88"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4362961F"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15.85%</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382600A0"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gender pay gap</w:t>
            </w:r>
          </w:p>
        </w:tc>
        <w:tc>
          <w:tcPr>
            <w:tcW w:w="965" w:type="dxa"/>
            <w:tcBorders>
              <w:top w:val="nil"/>
              <w:left w:val="nil"/>
              <w:bottom w:val="single" w:sz="8" w:space="0" w:color="auto"/>
              <w:right w:val="single" w:sz="8" w:space="0" w:color="auto"/>
            </w:tcBorders>
            <w:shd w:val="clear" w:color="auto" w:fill="auto"/>
            <w:noWrap/>
            <w:vAlign w:val="center"/>
            <w:hideMark/>
          </w:tcPr>
          <w:p w14:paraId="24F2BA0A"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29.34%</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0ED7E927"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gender pay gap</w:t>
            </w:r>
          </w:p>
        </w:tc>
      </w:tr>
      <w:tr w:rsidR="00812C96" w:rsidRPr="00812C96" w14:paraId="5DBFC515" w14:textId="77777777" w:rsidTr="007E6113">
        <w:trPr>
          <w:trHeight w:val="390"/>
        </w:trPr>
        <w:tc>
          <w:tcPr>
            <w:tcW w:w="9347" w:type="dxa"/>
            <w:gridSpan w:val="5"/>
            <w:tcBorders>
              <w:top w:val="nil"/>
              <w:left w:val="single" w:sz="8" w:space="0" w:color="auto"/>
              <w:bottom w:val="single" w:sz="8" w:space="0" w:color="auto"/>
              <w:right w:val="single" w:sz="8" w:space="0" w:color="auto"/>
            </w:tcBorders>
            <w:shd w:val="clear" w:color="000000" w:fill="D9D9D9"/>
            <w:noWrap/>
            <w:vAlign w:val="center"/>
            <w:hideMark/>
          </w:tcPr>
          <w:p w14:paraId="7756F346" w14:textId="7C9A6147"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 </w:t>
            </w:r>
            <w:r w:rsidRPr="00812C96">
              <w:rPr>
                <w:rFonts w:ascii="Calibri" w:hAnsi="Calibri" w:cs="Calibri"/>
                <w:color w:val="000000"/>
                <w:sz w:val="22"/>
                <w:szCs w:val="22"/>
                <w:lang w:eastAsia="en-GB"/>
              </w:rPr>
              <w:t> </w:t>
            </w:r>
          </w:p>
        </w:tc>
      </w:tr>
      <w:tr w:rsidR="00812C96" w:rsidRPr="00812C96" w14:paraId="7CA409C9" w14:textId="77777777" w:rsidTr="00812C96">
        <w:trPr>
          <w:trHeight w:val="315"/>
        </w:trPr>
        <w:tc>
          <w:tcPr>
            <w:tcW w:w="8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F88BD3" w14:textId="77777777" w:rsidR="00812C96" w:rsidRPr="00812C96" w:rsidRDefault="00812C96" w:rsidP="00812C96">
            <w:pPr>
              <w:jc w:val="center"/>
              <w:rPr>
                <w:rFonts w:ascii="Calibri" w:hAnsi="Calibri" w:cs="Calibri"/>
                <w:color w:val="000000"/>
                <w:sz w:val="28"/>
                <w:szCs w:val="28"/>
                <w:lang w:eastAsia="en-GB"/>
              </w:rPr>
            </w:pPr>
            <w:r w:rsidRPr="00812C96">
              <w:rPr>
                <w:rFonts w:ascii="Calibri" w:hAnsi="Calibri" w:cs="Calibri"/>
                <w:color w:val="000000"/>
                <w:sz w:val="28"/>
                <w:szCs w:val="28"/>
                <w:lang w:eastAsia="en-GB"/>
              </w:rPr>
              <w:t>2024</w:t>
            </w:r>
          </w:p>
        </w:tc>
        <w:tc>
          <w:tcPr>
            <w:tcW w:w="875" w:type="dxa"/>
            <w:tcBorders>
              <w:top w:val="nil"/>
              <w:left w:val="nil"/>
              <w:bottom w:val="single" w:sz="8" w:space="0" w:color="auto"/>
              <w:right w:val="single" w:sz="8" w:space="0" w:color="auto"/>
            </w:tcBorders>
            <w:shd w:val="clear" w:color="auto" w:fill="auto"/>
            <w:noWrap/>
            <w:vAlign w:val="center"/>
            <w:hideMark/>
          </w:tcPr>
          <w:p w14:paraId="7A18E548"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£27.87</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2820EDE0"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men</w:t>
            </w:r>
          </w:p>
        </w:tc>
        <w:tc>
          <w:tcPr>
            <w:tcW w:w="965" w:type="dxa"/>
            <w:tcBorders>
              <w:top w:val="nil"/>
              <w:left w:val="nil"/>
              <w:bottom w:val="single" w:sz="8" w:space="0" w:color="auto"/>
              <w:right w:val="single" w:sz="8" w:space="0" w:color="auto"/>
            </w:tcBorders>
            <w:shd w:val="clear" w:color="auto" w:fill="auto"/>
            <w:noWrap/>
            <w:vAlign w:val="center"/>
            <w:hideMark/>
          </w:tcPr>
          <w:p w14:paraId="12526173"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£34.92</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7D713FA8"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men</w:t>
            </w:r>
          </w:p>
        </w:tc>
      </w:tr>
      <w:tr w:rsidR="00812C96" w:rsidRPr="00812C96" w14:paraId="5A46CAF7"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3C186AAB"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0FC0E556"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£26.50</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762AC518"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hourly pay for women</w:t>
            </w:r>
          </w:p>
        </w:tc>
        <w:tc>
          <w:tcPr>
            <w:tcW w:w="965" w:type="dxa"/>
            <w:tcBorders>
              <w:top w:val="nil"/>
              <w:left w:val="nil"/>
              <w:bottom w:val="single" w:sz="8" w:space="0" w:color="auto"/>
              <w:right w:val="single" w:sz="8" w:space="0" w:color="auto"/>
            </w:tcBorders>
            <w:shd w:val="clear" w:color="auto" w:fill="auto"/>
            <w:noWrap/>
            <w:vAlign w:val="center"/>
            <w:hideMark/>
          </w:tcPr>
          <w:p w14:paraId="61D8140A"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£27.39</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3985BA3F"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pay for women</w:t>
            </w:r>
          </w:p>
        </w:tc>
      </w:tr>
      <w:tr w:rsidR="00812C96" w:rsidRPr="00812C96" w14:paraId="0281D1CF" w14:textId="77777777" w:rsidTr="00812C96">
        <w:trPr>
          <w:trHeight w:val="315"/>
        </w:trPr>
        <w:tc>
          <w:tcPr>
            <w:tcW w:w="823" w:type="dxa"/>
            <w:vMerge/>
            <w:tcBorders>
              <w:top w:val="nil"/>
              <w:left w:val="single" w:sz="8" w:space="0" w:color="auto"/>
              <w:bottom w:val="single" w:sz="8" w:space="0" w:color="000000"/>
              <w:right w:val="single" w:sz="8" w:space="0" w:color="auto"/>
            </w:tcBorders>
            <w:vAlign w:val="center"/>
            <w:hideMark/>
          </w:tcPr>
          <w:p w14:paraId="68E55BE4" w14:textId="77777777" w:rsidR="00812C96" w:rsidRPr="00812C96" w:rsidRDefault="00812C96" w:rsidP="00812C96">
            <w:pPr>
              <w:rPr>
                <w:rFonts w:ascii="Calibri" w:hAnsi="Calibri" w:cs="Calibri"/>
                <w:color w:val="000000"/>
                <w:sz w:val="28"/>
                <w:szCs w:val="28"/>
                <w:lang w:eastAsia="en-GB"/>
              </w:rPr>
            </w:pPr>
          </w:p>
        </w:tc>
        <w:tc>
          <w:tcPr>
            <w:tcW w:w="875" w:type="dxa"/>
            <w:tcBorders>
              <w:top w:val="nil"/>
              <w:left w:val="nil"/>
              <w:bottom w:val="single" w:sz="8" w:space="0" w:color="auto"/>
              <w:right w:val="single" w:sz="8" w:space="0" w:color="auto"/>
            </w:tcBorders>
            <w:shd w:val="clear" w:color="auto" w:fill="auto"/>
            <w:noWrap/>
            <w:vAlign w:val="center"/>
            <w:hideMark/>
          </w:tcPr>
          <w:p w14:paraId="420324D3"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11.28%</w:t>
            </w:r>
          </w:p>
        </w:tc>
        <w:tc>
          <w:tcPr>
            <w:tcW w:w="3564" w:type="dxa"/>
            <w:tcBorders>
              <w:top w:val="single" w:sz="8" w:space="0" w:color="auto"/>
              <w:left w:val="nil"/>
              <w:bottom w:val="single" w:sz="8" w:space="0" w:color="auto"/>
              <w:right w:val="single" w:sz="8" w:space="0" w:color="000000"/>
            </w:tcBorders>
            <w:shd w:val="clear" w:color="auto" w:fill="auto"/>
            <w:noWrap/>
            <w:vAlign w:val="center"/>
            <w:hideMark/>
          </w:tcPr>
          <w:p w14:paraId="0DA89B2E"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Mean gender pay gap</w:t>
            </w:r>
          </w:p>
        </w:tc>
        <w:tc>
          <w:tcPr>
            <w:tcW w:w="965" w:type="dxa"/>
            <w:tcBorders>
              <w:top w:val="nil"/>
              <w:left w:val="nil"/>
              <w:bottom w:val="single" w:sz="8" w:space="0" w:color="auto"/>
              <w:right w:val="single" w:sz="8" w:space="0" w:color="auto"/>
            </w:tcBorders>
            <w:shd w:val="clear" w:color="auto" w:fill="auto"/>
            <w:noWrap/>
            <w:vAlign w:val="center"/>
            <w:hideMark/>
          </w:tcPr>
          <w:p w14:paraId="1855F61A" w14:textId="77777777" w:rsidR="00812C96" w:rsidRPr="00812C96" w:rsidRDefault="00812C96" w:rsidP="00812C96">
            <w:pPr>
              <w:jc w:val="right"/>
              <w:rPr>
                <w:rFonts w:ascii="Calibri" w:hAnsi="Calibri" w:cs="Calibri"/>
                <w:color w:val="000000"/>
                <w:sz w:val="22"/>
                <w:szCs w:val="22"/>
                <w:lang w:eastAsia="en-GB"/>
              </w:rPr>
            </w:pPr>
            <w:r w:rsidRPr="00812C96">
              <w:rPr>
                <w:rFonts w:ascii="Calibri" w:hAnsi="Calibri" w:cs="Calibri"/>
                <w:color w:val="000000"/>
                <w:sz w:val="22"/>
                <w:szCs w:val="22"/>
                <w:lang w:eastAsia="en-GB"/>
              </w:rPr>
              <w:t>21.57%</w:t>
            </w:r>
          </w:p>
        </w:tc>
        <w:tc>
          <w:tcPr>
            <w:tcW w:w="3120" w:type="dxa"/>
            <w:tcBorders>
              <w:top w:val="single" w:sz="8" w:space="0" w:color="auto"/>
              <w:left w:val="nil"/>
              <w:bottom w:val="single" w:sz="8" w:space="0" w:color="auto"/>
              <w:right w:val="single" w:sz="8" w:space="0" w:color="000000"/>
            </w:tcBorders>
            <w:shd w:val="clear" w:color="auto" w:fill="auto"/>
            <w:noWrap/>
            <w:vAlign w:val="center"/>
            <w:hideMark/>
          </w:tcPr>
          <w:p w14:paraId="34CEF460" w14:textId="77777777" w:rsidR="00812C96" w:rsidRPr="00812C96" w:rsidRDefault="00812C96" w:rsidP="00812C96">
            <w:pPr>
              <w:jc w:val="center"/>
              <w:rPr>
                <w:rFonts w:ascii="Calibri" w:hAnsi="Calibri" w:cs="Calibri"/>
                <w:color w:val="000000"/>
                <w:sz w:val="22"/>
                <w:szCs w:val="22"/>
                <w:lang w:eastAsia="en-GB"/>
              </w:rPr>
            </w:pPr>
            <w:r w:rsidRPr="00812C96">
              <w:rPr>
                <w:rFonts w:ascii="Calibri" w:hAnsi="Calibri" w:cs="Calibri"/>
                <w:color w:val="000000"/>
                <w:sz w:val="22"/>
                <w:szCs w:val="22"/>
                <w:lang w:eastAsia="en-GB"/>
              </w:rPr>
              <w:t>Median gender pay gap</w:t>
            </w:r>
          </w:p>
        </w:tc>
      </w:tr>
    </w:tbl>
    <w:p w14:paraId="2A45D2FD" w14:textId="77777777" w:rsidR="009E7A91" w:rsidRDefault="009E7A91" w:rsidP="00812C96">
      <w:pPr>
        <w:pStyle w:val="BodyText"/>
        <w:ind w:right="340"/>
        <w:rPr>
          <w:rFonts w:ascii="Century Gothic" w:hAnsi="Century Gothic"/>
        </w:rPr>
      </w:pPr>
    </w:p>
    <w:p w14:paraId="68D5751D" w14:textId="77777777" w:rsidR="009B12DE" w:rsidRPr="00AE441D" w:rsidRDefault="009B12DE" w:rsidP="009062E2">
      <w:pPr>
        <w:pStyle w:val="Heading1"/>
        <w:tabs>
          <w:tab w:val="left" w:pos="905"/>
          <w:tab w:val="left" w:pos="907"/>
        </w:tabs>
        <w:rPr>
          <w:rFonts w:ascii="Century Gothic" w:hAnsi="Century Gothic"/>
        </w:rPr>
      </w:pPr>
      <w:bookmarkStart w:id="1" w:name="_bookmark3"/>
      <w:bookmarkEnd w:id="1"/>
    </w:p>
    <w:p w14:paraId="5FFACF3F" w14:textId="77777777" w:rsidR="009B12DE" w:rsidRPr="009B12DE" w:rsidRDefault="009B12DE" w:rsidP="009B12DE">
      <w:pPr>
        <w:pStyle w:val="Heading1"/>
        <w:keepNext w:val="0"/>
        <w:widowControl w:val="0"/>
        <w:numPr>
          <w:ilvl w:val="0"/>
          <w:numId w:val="5"/>
        </w:numPr>
        <w:tabs>
          <w:tab w:val="left" w:pos="905"/>
          <w:tab w:val="left" w:pos="907"/>
        </w:tabs>
        <w:autoSpaceDE w:val="0"/>
        <w:autoSpaceDN w:val="0"/>
        <w:spacing w:before="150"/>
        <w:ind w:hanging="429"/>
        <w:jc w:val="left"/>
        <w:rPr>
          <w:rFonts w:ascii="Century Gothic" w:hAnsi="Century Gothic"/>
          <w:sz w:val="24"/>
          <w:szCs w:val="24"/>
        </w:rPr>
      </w:pPr>
      <w:r w:rsidRPr="009B12DE">
        <w:rPr>
          <w:rFonts w:ascii="Century Gothic" w:hAnsi="Century Gothic"/>
          <w:color w:val="2D74B5"/>
          <w:sz w:val="24"/>
          <w:szCs w:val="24"/>
        </w:rPr>
        <w:t>What are the underlying causes of BFMAT’s gender pay</w:t>
      </w:r>
      <w:r w:rsidRPr="009B12DE">
        <w:rPr>
          <w:rFonts w:ascii="Century Gothic" w:hAnsi="Century Gothic"/>
          <w:color w:val="2D74B5"/>
          <w:spacing w:val="-11"/>
          <w:sz w:val="24"/>
          <w:szCs w:val="24"/>
        </w:rPr>
        <w:t xml:space="preserve"> </w:t>
      </w:r>
      <w:r w:rsidRPr="009B12DE">
        <w:rPr>
          <w:rFonts w:ascii="Century Gothic" w:hAnsi="Century Gothic"/>
          <w:color w:val="2D74B5"/>
          <w:sz w:val="24"/>
          <w:szCs w:val="24"/>
        </w:rPr>
        <w:t>gap?</w:t>
      </w:r>
    </w:p>
    <w:p w14:paraId="33ED8B70" w14:textId="77777777" w:rsidR="009B12DE" w:rsidRPr="002F1507" w:rsidRDefault="009B12DE" w:rsidP="009B12DE">
      <w:pPr>
        <w:pStyle w:val="BodyText"/>
        <w:spacing w:before="11"/>
        <w:rPr>
          <w:rFonts w:ascii="Century Gothic" w:hAnsi="Century Gothic"/>
          <w:b/>
          <w:sz w:val="23"/>
        </w:rPr>
      </w:pPr>
    </w:p>
    <w:p w14:paraId="3B0B2293" w14:textId="77777777" w:rsidR="009B12DE" w:rsidRPr="002F1507" w:rsidRDefault="009B12DE" w:rsidP="009B12DE">
      <w:pPr>
        <w:pStyle w:val="BodyText"/>
        <w:spacing w:line="292" w:lineRule="exact"/>
        <w:ind w:left="478"/>
        <w:jc w:val="both"/>
        <w:rPr>
          <w:rFonts w:ascii="Century Gothic" w:hAnsi="Century Gothic"/>
        </w:rPr>
      </w:pPr>
      <w:r w:rsidRPr="002F1507">
        <w:rPr>
          <w:rFonts w:ascii="Century Gothic" w:hAnsi="Century Gothic"/>
        </w:rPr>
        <w:t>Under the law, men and women must receive equal pay for:</w:t>
      </w:r>
    </w:p>
    <w:p w14:paraId="353A47E8" w14:textId="77777777" w:rsidR="009B12DE" w:rsidRPr="002F1507" w:rsidRDefault="009B12DE" w:rsidP="009B12DE">
      <w:pPr>
        <w:pStyle w:val="ListParagraph"/>
        <w:widowControl w:val="0"/>
        <w:numPr>
          <w:ilvl w:val="1"/>
          <w:numId w:val="5"/>
        </w:numPr>
        <w:tabs>
          <w:tab w:val="left" w:pos="1918"/>
          <w:tab w:val="left" w:pos="1919"/>
        </w:tabs>
        <w:autoSpaceDE w:val="0"/>
        <w:autoSpaceDN w:val="0"/>
        <w:spacing w:line="305" w:lineRule="exact"/>
        <w:ind w:hanging="361"/>
        <w:contextualSpacing w:val="0"/>
        <w:rPr>
          <w:rFonts w:ascii="Century Gothic" w:hAnsi="Century Gothic"/>
          <w:sz w:val="24"/>
        </w:rPr>
      </w:pPr>
      <w:r w:rsidRPr="002F1507">
        <w:rPr>
          <w:rFonts w:ascii="Century Gothic" w:hAnsi="Century Gothic"/>
          <w:sz w:val="24"/>
        </w:rPr>
        <w:t>the same or broadly similar</w:t>
      </w:r>
      <w:r w:rsidRPr="002F1507">
        <w:rPr>
          <w:rFonts w:ascii="Century Gothic" w:hAnsi="Century Gothic"/>
          <w:spacing w:val="-4"/>
          <w:sz w:val="24"/>
        </w:rPr>
        <w:t xml:space="preserve"> </w:t>
      </w:r>
      <w:r w:rsidRPr="002F1507">
        <w:rPr>
          <w:rFonts w:ascii="Century Gothic" w:hAnsi="Century Gothic"/>
          <w:sz w:val="24"/>
        </w:rPr>
        <w:t>work;</w:t>
      </w:r>
    </w:p>
    <w:p w14:paraId="17E55558" w14:textId="77777777" w:rsidR="009B12DE" w:rsidRPr="002F1507" w:rsidRDefault="009B12DE" w:rsidP="009B12DE">
      <w:pPr>
        <w:pStyle w:val="ListParagraph"/>
        <w:widowControl w:val="0"/>
        <w:numPr>
          <w:ilvl w:val="1"/>
          <w:numId w:val="5"/>
        </w:numPr>
        <w:tabs>
          <w:tab w:val="left" w:pos="1918"/>
          <w:tab w:val="left" w:pos="1919"/>
        </w:tabs>
        <w:autoSpaceDE w:val="0"/>
        <w:autoSpaceDN w:val="0"/>
        <w:spacing w:before="2" w:line="305" w:lineRule="exact"/>
        <w:ind w:hanging="361"/>
        <w:contextualSpacing w:val="0"/>
        <w:rPr>
          <w:rFonts w:ascii="Century Gothic" w:hAnsi="Century Gothic"/>
          <w:sz w:val="24"/>
        </w:rPr>
      </w:pPr>
      <w:r w:rsidRPr="002F1507">
        <w:rPr>
          <w:rFonts w:ascii="Century Gothic" w:hAnsi="Century Gothic"/>
          <w:sz w:val="24"/>
        </w:rPr>
        <w:t>work rated as equivalent under a job evaluation scheme;</w:t>
      </w:r>
      <w:r w:rsidRPr="002F1507">
        <w:rPr>
          <w:rFonts w:ascii="Century Gothic" w:hAnsi="Century Gothic"/>
          <w:spacing w:val="-7"/>
          <w:sz w:val="24"/>
        </w:rPr>
        <w:t xml:space="preserve"> </w:t>
      </w:r>
      <w:r w:rsidRPr="002F1507">
        <w:rPr>
          <w:rFonts w:ascii="Century Gothic" w:hAnsi="Century Gothic"/>
          <w:sz w:val="24"/>
        </w:rPr>
        <w:t>or</w:t>
      </w:r>
    </w:p>
    <w:p w14:paraId="5407BE13" w14:textId="77777777" w:rsidR="009B12DE" w:rsidRPr="002F1507" w:rsidRDefault="009B12DE" w:rsidP="009B12DE">
      <w:pPr>
        <w:pStyle w:val="ListParagraph"/>
        <w:widowControl w:val="0"/>
        <w:numPr>
          <w:ilvl w:val="1"/>
          <w:numId w:val="5"/>
        </w:numPr>
        <w:tabs>
          <w:tab w:val="left" w:pos="1918"/>
          <w:tab w:val="left" w:pos="1919"/>
        </w:tabs>
        <w:autoSpaceDE w:val="0"/>
        <w:autoSpaceDN w:val="0"/>
        <w:spacing w:line="305" w:lineRule="exact"/>
        <w:ind w:hanging="361"/>
        <w:contextualSpacing w:val="0"/>
        <w:rPr>
          <w:rFonts w:ascii="Century Gothic" w:hAnsi="Century Gothic"/>
          <w:sz w:val="24"/>
        </w:rPr>
      </w:pPr>
      <w:r w:rsidRPr="002F1507">
        <w:rPr>
          <w:rFonts w:ascii="Century Gothic" w:hAnsi="Century Gothic"/>
          <w:sz w:val="24"/>
        </w:rPr>
        <w:t>work of equal value.</w:t>
      </w:r>
    </w:p>
    <w:p w14:paraId="4813C614" w14:textId="77777777" w:rsidR="009B12DE" w:rsidRPr="002F1507" w:rsidRDefault="009B12DE" w:rsidP="009B12DE">
      <w:pPr>
        <w:pStyle w:val="BodyText"/>
        <w:spacing w:before="12"/>
        <w:rPr>
          <w:rFonts w:ascii="Century Gothic" w:hAnsi="Century Gothic"/>
          <w:sz w:val="23"/>
        </w:rPr>
      </w:pPr>
    </w:p>
    <w:p w14:paraId="39A2CBAD" w14:textId="77777777" w:rsidR="009B12DE" w:rsidRPr="002F1507" w:rsidRDefault="009B12DE" w:rsidP="009B12DE">
      <w:pPr>
        <w:pStyle w:val="BodyText"/>
        <w:ind w:left="478" w:right="101"/>
        <w:jc w:val="both"/>
        <w:rPr>
          <w:rFonts w:ascii="Century Gothic" w:hAnsi="Century Gothic"/>
        </w:rPr>
      </w:pPr>
      <w:r>
        <w:rPr>
          <w:rFonts w:ascii="Century Gothic" w:hAnsi="Century Gothic"/>
        </w:rPr>
        <w:t>BFMAT</w:t>
      </w:r>
      <w:r w:rsidRPr="002F1507">
        <w:rPr>
          <w:rFonts w:ascii="Century Gothic" w:hAnsi="Century Gothic"/>
        </w:rPr>
        <w:t xml:space="preserve"> is committed to the principle of equal opportunities and equal treatment for all employees, regardless of sex, race, religion or belief, age, </w:t>
      </w:r>
      <w:r w:rsidRPr="002F1507">
        <w:rPr>
          <w:rFonts w:ascii="Century Gothic" w:hAnsi="Century Gothic"/>
        </w:rPr>
        <w:lastRenderedPageBreak/>
        <w:t>marriage or civil partnership, pregnancy/maternity, sexual orientation, gender reassignment or disability. It has a clear policy of paying employees equally for the same or equivalent work, regardless of their sex (or any other characteristic set out above).</w:t>
      </w:r>
    </w:p>
    <w:p w14:paraId="356C8098" w14:textId="77777777" w:rsidR="009B12DE" w:rsidRPr="002F1507" w:rsidRDefault="009B12DE" w:rsidP="009B12DE">
      <w:pPr>
        <w:pStyle w:val="BodyText"/>
        <w:spacing w:before="2"/>
        <w:rPr>
          <w:rFonts w:ascii="Century Gothic" w:hAnsi="Century Gothic"/>
        </w:rPr>
      </w:pPr>
    </w:p>
    <w:p w14:paraId="1E8E0B68" w14:textId="32E82B1C" w:rsidR="009B12DE" w:rsidRPr="002F1507" w:rsidRDefault="009B12DE" w:rsidP="009B12DE">
      <w:pPr>
        <w:pStyle w:val="BodyText"/>
        <w:ind w:left="478" w:right="100"/>
        <w:jc w:val="both"/>
        <w:rPr>
          <w:rFonts w:ascii="Century Gothic" w:hAnsi="Century Gothic"/>
        </w:rPr>
      </w:pPr>
      <w:r>
        <w:rPr>
          <w:rFonts w:ascii="Century Gothic" w:hAnsi="Century Gothic"/>
        </w:rPr>
        <w:t>BFMAT</w:t>
      </w:r>
      <w:r w:rsidRPr="002F1507">
        <w:rPr>
          <w:rFonts w:ascii="Century Gothic" w:hAnsi="Century Gothic"/>
        </w:rPr>
        <w:t xml:space="preserve"> is therefore confident that its gender pay gap does not stem from paying men and women differently for the same or equivalent work. Rather its gender pay gap is the result of the roles in which men and women work within the organisation and the salaries that these roles </w:t>
      </w:r>
      <w:r>
        <w:rPr>
          <w:rFonts w:ascii="Century Gothic" w:hAnsi="Century Gothic"/>
        </w:rPr>
        <w:t>attr</w:t>
      </w:r>
      <w:r w:rsidRPr="002F1507">
        <w:rPr>
          <w:rFonts w:ascii="Century Gothic" w:hAnsi="Century Gothic"/>
        </w:rPr>
        <w:t>act. Across the UK economy, men are more likely than women to be in senior roles (especially very senior roles</w:t>
      </w:r>
      <w:r>
        <w:rPr>
          <w:rFonts w:ascii="Century Gothic" w:hAnsi="Century Gothic"/>
        </w:rPr>
        <w:t xml:space="preserve">), </w:t>
      </w:r>
      <w:r w:rsidRPr="002F1507">
        <w:rPr>
          <w:rFonts w:ascii="Century Gothic" w:hAnsi="Century Gothic"/>
        </w:rPr>
        <w:t>while women are more likely than men to be in front-line roles at the lower end of the organisation. In addition, men are more likely to be in technical and IT-related roles, which attract higher rates of pay than other roles at similar levels of seniority. Women are also more likely than men to have had breaks from work that have affected their career progression, for example to bring up children. They are also more likely to work part time, and many of the jobs that are available across the UK on a part-time basis are relatively low</w:t>
      </w:r>
      <w:r w:rsidRPr="002F1507">
        <w:rPr>
          <w:rFonts w:ascii="Century Gothic" w:hAnsi="Century Gothic"/>
          <w:spacing w:val="-5"/>
        </w:rPr>
        <w:t xml:space="preserve"> </w:t>
      </w:r>
      <w:r w:rsidRPr="002F1507">
        <w:rPr>
          <w:rFonts w:ascii="Century Gothic" w:hAnsi="Century Gothic"/>
        </w:rPr>
        <w:t>paid.</w:t>
      </w:r>
    </w:p>
    <w:p w14:paraId="4A58537F" w14:textId="77777777" w:rsidR="009B12DE" w:rsidRPr="002F1507" w:rsidRDefault="009B12DE" w:rsidP="009B12DE">
      <w:pPr>
        <w:pStyle w:val="BodyText"/>
        <w:rPr>
          <w:rFonts w:ascii="Century Gothic" w:hAnsi="Century Gothic"/>
        </w:rPr>
      </w:pPr>
    </w:p>
    <w:p w14:paraId="39880A40" w14:textId="6AAB0456" w:rsidR="009B12DE" w:rsidRDefault="009B12DE" w:rsidP="009B12DE">
      <w:pPr>
        <w:pStyle w:val="BodyText"/>
        <w:spacing w:before="1"/>
        <w:ind w:left="478" w:right="98"/>
        <w:jc w:val="both"/>
        <w:rPr>
          <w:rFonts w:ascii="Century Gothic" w:hAnsi="Century Gothic"/>
        </w:rPr>
      </w:pPr>
      <w:r w:rsidRPr="002F1507">
        <w:rPr>
          <w:rFonts w:ascii="Century Gothic" w:hAnsi="Century Gothic"/>
        </w:rPr>
        <w:t xml:space="preserve">This can be seen above in the table depicting pay quartiles by gender. This shows </w:t>
      </w:r>
      <w:r>
        <w:rPr>
          <w:rFonts w:ascii="Century Gothic" w:hAnsi="Century Gothic"/>
        </w:rPr>
        <w:t>BFMAT</w:t>
      </w:r>
      <w:r w:rsidRPr="002F1507">
        <w:rPr>
          <w:rFonts w:ascii="Century Gothic" w:hAnsi="Century Gothic"/>
        </w:rPr>
        <w:t>’s workforce divided into four equal-sized groups based on hourly pay rates, with Band A</w:t>
      </w:r>
      <w:r>
        <w:rPr>
          <w:rFonts w:ascii="Century Gothic" w:hAnsi="Century Gothic"/>
        </w:rPr>
        <w:t>:</w:t>
      </w:r>
      <w:r w:rsidRPr="002F1507">
        <w:rPr>
          <w:rFonts w:ascii="Century Gothic" w:hAnsi="Century Gothic"/>
        </w:rPr>
        <w:t xml:space="preserve">  including the lowest-paid 25% of employees (the lower quartile) and Band D covering the highest-paid 25% (the upper quartile). In order for there to be no gender pay gap, there would need to be an equal ratio of men to women in each Band. However, within </w:t>
      </w:r>
      <w:r>
        <w:rPr>
          <w:rFonts w:ascii="Century Gothic" w:hAnsi="Century Gothic"/>
        </w:rPr>
        <w:t>BFMAT</w:t>
      </w:r>
      <w:r w:rsidRPr="002F1507">
        <w:rPr>
          <w:rFonts w:ascii="Century Gothic" w:hAnsi="Century Gothic"/>
        </w:rPr>
        <w:t>,</w:t>
      </w:r>
      <w:r>
        <w:rPr>
          <w:rFonts w:ascii="Century Gothic" w:hAnsi="Century Gothic"/>
        </w:rPr>
        <w:t xml:space="preserve"> </w:t>
      </w:r>
      <w:r w:rsidR="0032754E">
        <w:rPr>
          <w:rFonts w:ascii="Century Gothic" w:hAnsi="Century Gothic"/>
        </w:rPr>
        <w:t>76.61</w:t>
      </w:r>
      <w:r>
        <w:rPr>
          <w:rFonts w:ascii="Century Gothic" w:hAnsi="Century Gothic"/>
        </w:rPr>
        <w:t>%</w:t>
      </w:r>
      <w:r w:rsidRPr="00A355F0">
        <w:rPr>
          <w:rFonts w:ascii="Century Gothic" w:hAnsi="Century Gothic"/>
        </w:rPr>
        <w:t xml:space="preserve"> of the employees in Band A are women and </w:t>
      </w:r>
      <w:r w:rsidR="0032754E">
        <w:rPr>
          <w:rFonts w:ascii="Century Gothic" w:hAnsi="Century Gothic"/>
        </w:rPr>
        <w:t>23.39</w:t>
      </w:r>
      <w:r w:rsidRPr="00A355F0">
        <w:rPr>
          <w:rFonts w:ascii="Century Gothic" w:hAnsi="Century Gothic"/>
        </w:rPr>
        <w:t>% men. The percentage of male employees increases throughout the remaining Bands, from 2</w:t>
      </w:r>
      <w:r w:rsidR="000C3EE2">
        <w:rPr>
          <w:rFonts w:ascii="Century Gothic" w:hAnsi="Century Gothic"/>
        </w:rPr>
        <w:t>8.23</w:t>
      </w:r>
      <w:r w:rsidRPr="00A355F0">
        <w:rPr>
          <w:rFonts w:ascii="Century Gothic" w:hAnsi="Century Gothic"/>
        </w:rPr>
        <w:t xml:space="preserve">% in Band B to </w:t>
      </w:r>
      <w:r w:rsidR="00705F5A">
        <w:rPr>
          <w:rFonts w:ascii="Century Gothic" w:hAnsi="Century Gothic"/>
        </w:rPr>
        <w:t>3</w:t>
      </w:r>
      <w:r w:rsidR="000C3EE2">
        <w:rPr>
          <w:rFonts w:ascii="Century Gothic" w:hAnsi="Century Gothic"/>
        </w:rPr>
        <w:t>6.29</w:t>
      </w:r>
      <w:r w:rsidRPr="00A355F0">
        <w:rPr>
          <w:rFonts w:ascii="Century Gothic" w:hAnsi="Century Gothic"/>
        </w:rPr>
        <w:t xml:space="preserve">% in C and </w:t>
      </w:r>
      <w:r w:rsidR="00705F5A">
        <w:rPr>
          <w:rFonts w:ascii="Century Gothic" w:hAnsi="Century Gothic"/>
        </w:rPr>
        <w:t>3</w:t>
      </w:r>
      <w:r w:rsidR="000C3EE2">
        <w:rPr>
          <w:rFonts w:ascii="Century Gothic" w:hAnsi="Century Gothic"/>
        </w:rPr>
        <w:t>2.36</w:t>
      </w:r>
      <w:r w:rsidRPr="00A355F0">
        <w:rPr>
          <w:rFonts w:ascii="Century Gothic" w:hAnsi="Century Gothic"/>
        </w:rPr>
        <w:t>% in</w:t>
      </w:r>
      <w:r w:rsidRPr="00A355F0">
        <w:rPr>
          <w:rFonts w:ascii="Century Gothic" w:hAnsi="Century Gothic"/>
          <w:spacing w:val="-16"/>
        </w:rPr>
        <w:t xml:space="preserve"> </w:t>
      </w:r>
      <w:r w:rsidRPr="00A355F0">
        <w:rPr>
          <w:rFonts w:ascii="Century Gothic" w:hAnsi="Century Gothic"/>
        </w:rPr>
        <w:t>D.</w:t>
      </w:r>
    </w:p>
    <w:p w14:paraId="699A4DDB" w14:textId="77777777" w:rsidR="009B12DE" w:rsidRDefault="009B12DE" w:rsidP="009B12DE">
      <w:pPr>
        <w:pStyle w:val="BodyText"/>
        <w:rPr>
          <w:rFonts w:ascii="Century Gothic" w:hAnsi="Century Gothic"/>
        </w:rPr>
      </w:pPr>
    </w:p>
    <w:p w14:paraId="5FA9CB49" w14:textId="77777777" w:rsidR="009B12DE" w:rsidRPr="009B12DE" w:rsidRDefault="009B12DE" w:rsidP="009B12DE">
      <w:pPr>
        <w:pStyle w:val="Heading1"/>
        <w:keepNext w:val="0"/>
        <w:widowControl w:val="0"/>
        <w:numPr>
          <w:ilvl w:val="0"/>
          <w:numId w:val="5"/>
        </w:numPr>
        <w:tabs>
          <w:tab w:val="left" w:pos="905"/>
          <w:tab w:val="left" w:pos="907"/>
        </w:tabs>
        <w:autoSpaceDE w:val="0"/>
        <w:autoSpaceDN w:val="0"/>
        <w:spacing w:before="185"/>
        <w:ind w:hanging="429"/>
        <w:jc w:val="left"/>
        <w:rPr>
          <w:rFonts w:ascii="Century Gothic" w:hAnsi="Century Gothic"/>
          <w:sz w:val="24"/>
          <w:szCs w:val="24"/>
        </w:rPr>
      </w:pPr>
      <w:bookmarkStart w:id="2" w:name="_bookmark4"/>
      <w:bookmarkEnd w:id="2"/>
      <w:r w:rsidRPr="009B12DE">
        <w:rPr>
          <w:rFonts w:ascii="Century Gothic" w:hAnsi="Century Gothic"/>
          <w:color w:val="2D74B5"/>
          <w:sz w:val="24"/>
          <w:szCs w:val="24"/>
        </w:rPr>
        <w:t>How does BFMAT’s gender pay gap compare with that of other</w:t>
      </w:r>
      <w:r w:rsidRPr="009B12DE">
        <w:rPr>
          <w:rFonts w:ascii="Century Gothic" w:hAnsi="Century Gothic"/>
          <w:color w:val="2D74B5"/>
          <w:spacing w:val="-8"/>
          <w:sz w:val="24"/>
          <w:szCs w:val="24"/>
        </w:rPr>
        <w:t xml:space="preserve"> </w:t>
      </w:r>
      <w:r w:rsidRPr="009B12DE">
        <w:rPr>
          <w:rFonts w:ascii="Century Gothic" w:hAnsi="Century Gothic"/>
          <w:color w:val="2D74B5"/>
          <w:sz w:val="24"/>
          <w:szCs w:val="24"/>
        </w:rPr>
        <w:t>organisations?</w:t>
      </w:r>
    </w:p>
    <w:p w14:paraId="0FE88B9C" w14:textId="77777777" w:rsidR="009B12DE" w:rsidRPr="002F1507" w:rsidRDefault="009B12DE" w:rsidP="009B12DE">
      <w:pPr>
        <w:pStyle w:val="BodyText"/>
        <w:rPr>
          <w:rFonts w:ascii="Century Gothic" w:hAnsi="Century Gothic"/>
          <w:b/>
        </w:rPr>
      </w:pPr>
    </w:p>
    <w:p w14:paraId="67409C36" w14:textId="4B20491A" w:rsidR="009B12DE" w:rsidRPr="002F1507" w:rsidRDefault="004179D5" w:rsidP="009B12DE">
      <w:pPr>
        <w:pStyle w:val="BodyText"/>
        <w:ind w:left="478"/>
        <w:rPr>
          <w:rFonts w:ascii="Century Gothic" w:hAnsi="Century Gothic"/>
        </w:rPr>
      </w:pPr>
      <w:r>
        <w:rPr>
          <w:rFonts w:ascii="Century Gothic" w:hAnsi="Century Gothic"/>
        </w:rPr>
        <w:t>The gender pay gap has been declining slowly over time; over the last decade it has fallen by a quarter for both full-time and part-time employees.  For 202</w:t>
      </w:r>
      <w:r w:rsidR="00F10C5D">
        <w:rPr>
          <w:rFonts w:ascii="Century Gothic" w:hAnsi="Century Gothic"/>
        </w:rPr>
        <w:t>3</w:t>
      </w:r>
      <w:r>
        <w:rPr>
          <w:rFonts w:ascii="Century Gothic" w:hAnsi="Century Gothic"/>
        </w:rPr>
        <w:t>, t</w:t>
      </w:r>
      <w:r w:rsidR="009B12DE" w:rsidRPr="002F1507">
        <w:rPr>
          <w:rFonts w:ascii="Century Gothic" w:hAnsi="Century Gothic"/>
        </w:rPr>
        <w:t>he gender pay gap for the whole economy (according to the Office for National Statistics (ONS)</w:t>
      </w:r>
      <w:r w:rsidR="009B12DE">
        <w:rPr>
          <w:rFonts w:ascii="Century Gothic" w:hAnsi="Century Gothic"/>
        </w:rPr>
        <w:t>) for all employees is 1</w:t>
      </w:r>
      <w:r w:rsidR="00964D94">
        <w:rPr>
          <w:rFonts w:ascii="Century Gothic" w:hAnsi="Century Gothic"/>
        </w:rPr>
        <w:t>3.1</w:t>
      </w:r>
      <w:r w:rsidR="009B12DE">
        <w:rPr>
          <w:rFonts w:ascii="Century Gothic" w:hAnsi="Century Gothic"/>
        </w:rPr>
        <w:t xml:space="preserve">%, </w:t>
      </w:r>
      <w:r>
        <w:rPr>
          <w:rFonts w:ascii="Century Gothic" w:hAnsi="Century Gothic"/>
        </w:rPr>
        <w:t>a</w:t>
      </w:r>
      <w:r w:rsidR="0019443B">
        <w:rPr>
          <w:rFonts w:ascii="Century Gothic" w:hAnsi="Century Gothic"/>
        </w:rPr>
        <w:t xml:space="preserve"> slight</w:t>
      </w:r>
      <w:r>
        <w:rPr>
          <w:rFonts w:ascii="Century Gothic" w:hAnsi="Century Gothic"/>
        </w:rPr>
        <w:t xml:space="preserve"> </w:t>
      </w:r>
      <w:r w:rsidR="0041750D">
        <w:rPr>
          <w:rFonts w:ascii="Century Gothic" w:hAnsi="Century Gothic"/>
        </w:rPr>
        <w:t>decrease</w:t>
      </w:r>
      <w:r>
        <w:rPr>
          <w:rFonts w:ascii="Century Gothic" w:hAnsi="Century Gothic"/>
        </w:rPr>
        <w:t xml:space="preserve"> </w:t>
      </w:r>
      <w:r w:rsidR="00BB5EAE">
        <w:rPr>
          <w:rFonts w:ascii="Century Gothic" w:hAnsi="Century Gothic"/>
        </w:rPr>
        <w:t>from 14.</w:t>
      </w:r>
      <w:r w:rsidR="000714B6">
        <w:rPr>
          <w:rFonts w:ascii="Century Gothic" w:hAnsi="Century Gothic"/>
        </w:rPr>
        <w:t>2</w:t>
      </w:r>
      <w:r w:rsidR="00BB5EAE">
        <w:rPr>
          <w:rFonts w:ascii="Century Gothic" w:hAnsi="Century Gothic"/>
        </w:rPr>
        <w:t>% in 202</w:t>
      </w:r>
      <w:r w:rsidR="000714B6">
        <w:rPr>
          <w:rFonts w:ascii="Century Gothic" w:hAnsi="Century Gothic"/>
        </w:rPr>
        <w:t>3</w:t>
      </w:r>
      <w:r w:rsidR="009B12DE">
        <w:rPr>
          <w:rFonts w:ascii="Century Gothic" w:hAnsi="Century Gothic"/>
        </w:rPr>
        <w:t xml:space="preserve">. </w:t>
      </w:r>
      <w:bookmarkStart w:id="3" w:name="_bookmark5"/>
      <w:bookmarkEnd w:id="3"/>
      <w:r w:rsidR="003E21F4">
        <w:rPr>
          <w:rFonts w:ascii="Century Gothic" w:hAnsi="Century Gothic"/>
        </w:rPr>
        <w:t xml:space="preserve">  </w:t>
      </w:r>
    </w:p>
    <w:p w14:paraId="34B5BAD4" w14:textId="77777777" w:rsidR="009B12DE" w:rsidRPr="009B12DE" w:rsidRDefault="009B12DE" w:rsidP="009B12DE">
      <w:pPr>
        <w:pStyle w:val="Heading1"/>
        <w:keepNext w:val="0"/>
        <w:widowControl w:val="0"/>
        <w:numPr>
          <w:ilvl w:val="0"/>
          <w:numId w:val="5"/>
        </w:numPr>
        <w:tabs>
          <w:tab w:val="left" w:pos="905"/>
          <w:tab w:val="left" w:pos="907"/>
        </w:tabs>
        <w:autoSpaceDE w:val="0"/>
        <w:autoSpaceDN w:val="0"/>
        <w:spacing w:before="189"/>
        <w:ind w:hanging="429"/>
        <w:jc w:val="left"/>
        <w:rPr>
          <w:rFonts w:ascii="Century Gothic" w:hAnsi="Century Gothic"/>
          <w:sz w:val="24"/>
          <w:szCs w:val="24"/>
        </w:rPr>
      </w:pPr>
      <w:bookmarkStart w:id="4" w:name="_bookmark6"/>
      <w:bookmarkEnd w:id="4"/>
      <w:r w:rsidRPr="009B12DE">
        <w:rPr>
          <w:rFonts w:ascii="Century Gothic" w:hAnsi="Century Gothic"/>
          <w:color w:val="2D74B5"/>
          <w:sz w:val="24"/>
          <w:szCs w:val="24"/>
        </w:rPr>
        <w:t>How are we supporting gender equality in the</w:t>
      </w:r>
      <w:r w:rsidRPr="009B12DE">
        <w:rPr>
          <w:rFonts w:ascii="Century Gothic" w:hAnsi="Century Gothic"/>
          <w:color w:val="2D74B5"/>
          <w:spacing w:val="-10"/>
          <w:sz w:val="24"/>
          <w:szCs w:val="24"/>
        </w:rPr>
        <w:t xml:space="preserve"> </w:t>
      </w:r>
      <w:r w:rsidRPr="009B12DE">
        <w:rPr>
          <w:rFonts w:ascii="Century Gothic" w:hAnsi="Century Gothic"/>
          <w:color w:val="2D74B5"/>
          <w:sz w:val="24"/>
          <w:szCs w:val="24"/>
        </w:rPr>
        <w:t>Trust?</w:t>
      </w:r>
    </w:p>
    <w:p w14:paraId="3ACD307B" w14:textId="77777777" w:rsidR="009B12DE" w:rsidRPr="002F1507" w:rsidRDefault="009B12DE" w:rsidP="009B12DE">
      <w:pPr>
        <w:pStyle w:val="BodyText"/>
        <w:spacing w:before="11"/>
        <w:rPr>
          <w:rFonts w:ascii="Century Gothic" w:hAnsi="Century Gothic"/>
          <w:b/>
          <w:sz w:val="23"/>
        </w:rPr>
      </w:pPr>
    </w:p>
    <w:p w14:paraId="6CC9B3E0" w14:textId="77777777" w:rsidR="009B12DE" w:rsidRPr="002F1507" w:rsidRDefault="009B12DE" w:rsidP="009B12DE">
      <w:pPr>
        <w:pStyle w:val="BodyText"/>
        <w:spacing w:before="1"/>
        <w:ind w:left="478" w:right="99"/>
        <w:jc w:val="both"/>
        <w:rPr>
          <w:rFonts w:ascii="Century Gothic" w:hAnsi="Century Gothic"/>
        </w:rPr>
      </w:pPr>
      <w:r w:rsidRPr="002F1507">
        <w:rPr>
          <w:rFonts w:ascii="Century Gothic" w:hAnsi="Century Gothic"/>
        </w:rPr>
        <w:t xml:space="preserve">While </w:t>
      </w:r>
      <w:r>
        <w:rPr>
          <w:rFonts w:ascii="Century Gothic" w:hAnsi="Century Gothic"/>
        </w:rPr>
        <w:t>BFMAT</w:t>
      </w:r>
      <w:r w:rsidRPr="002F1507">
        <w:rPr>
          <w:rFonts w:ascii="Century Gothic" w:hAnsi="Century Gothic"/>
        </w:rPr>
        <w:t xml:space="preserve">’s gender pay gap compares favourably with that of organisations both across the whole UK economy and within the education sector, </w:t>
      </w:r>
      <w:r>
        <w:rPr>
          <w:rFonts w:ascii="Century Gothic" w:hAnsi="Century Gothic"/>
        </w:rPr>
        <w:t>BFMAT</w:t>
      </w:r>
      <w:r w:rsidRPr="002F1507">
        <w:rPr>
          <w:rFonts w:ascii="Century Gothic" w:hAnsi="Century Gothic"/>
        </w:rPr>
        <w:t xml:space="preserve"> is committed to doing everything that it can to reduce the gap. </w:t>
      </w:r>
      <w:r>
        <w:rPr>
          <w:rFonts w:ascii="Century Gothic" w:hAnsi="Century Gothic"/>
        </w:rPr>
        <w:t>BFMAT</w:t>
      </w:r>
      <w:r w:rsidRPr="002F1507">
        <w:rPr>
          <w:rFonts w:ascii="Century Gothic" w:hAnsi="Century Gothic"/>
        </w:rPr>
        <w:t xml:space="preserve"> recognises that its scope to act is limited in some areas - it has, for example, no direct control over the subjects that individuals choose to study or the career </w:t>
      </w:r>
      <w:r w:rsidRPr="002F1507">
        <w:rPr>
          <w:rFonts w:ascii="Century Gothic" w:hAnsi="Century Gothic"/>
        </w:rPr>
        <w:lastRenderedPageBreak/>
        <w:t>choices that they make.</w:t>
      </w:r>
    </w:p>
    <w:p w14:paraId="1106865F" w14:textId="77777777" w:rsidR="009B12DE" w:rsidRPr="002F1507" w:rsidRDefault="009B12DE" w:rsidP="009B12DE">
      <w:pPr>
        <w:pStyle w:val="BodyText"/>
        <w:spacing w:before="11"/>
        <w:rPr>
          <w:rFonts w:ascii="Century Gothic" w:hAnsi="Century Gothic"/>
          <w:sz w:val="23"/>
        </w:rPr>
      </w:pPr>
    </w:p>
    <w:p w14:paraId="425DB6DD" w14:textId="77777777" w:rsidR="009B12DE" w:rsidRDefault="009B12DE" w:rsidP="009B12DE">
      <w:pPr>
        <w:pStyle w:val="BodyText"/>
        <w:ind w:left="478" w:right="104"/>
        <w:jc w:val="both"/>
        <w:rPr>
          <w:rFonts w:ascii="Century Gothic" w:hAnsi="Century Gothic"/>
        </w:rPr>
      </w:pPr>
      <w:r w:rsidRPr="002F1507">
        <w:rPr>
          <w:rFonts w:ascii="Century Gothic" w:hAnsi="Century Gothic"/>
        </w:rPr>
        <w:t xml:space="preserve">The Trust operates as an equal opportunities employer and does not discriminate in any way (as defined by the Equalities Act 2010 and other relevant legislation) regarding recruitment, performance management and career development opportunities. </w:t>
      </w:r>
    </w:p>
    <w:p w14:paraId="203D19A6" w14:textId="77777777" w:rsidR="009B12DE" w:rsidRDefault="009B12DE" w:rsidP="009B12DE">
      <w:pPr>
        <w:pStyle w:val="BodyText"/>
        <w:ind w:left="478" w:right="104"/>
        <w:jc w:val="both"/>
        <w:rPr>
          <w:rFonts w:ascii="Century Gothic" w:hAnsi="Century Gothic"/>
        </w:rPr>
      </w:pPr>
    </w:p>
    <w:p w14:paraId="630DB537" w14:textId="141F73DC" w:rsidR="009B12DE" w:rsidRPr="002F1507" w:rsidRDefault="009B12DE" w:rsidP="009B12DE">
      <w:pPr>
        <w:pStyle w:val="BodyText"/>
        <w:spacing w:before="1"/>
        <w:ind w:left="478" w:right="104"/>
        <w:jc w:val="both"/>
        <w:rPr>
          <w:rFonts w:ascii="Century Gothic" w:hAnsi="Century Gothic"/>
        </w:rPr>
      </w:pPr>
      <w:r>
        <w:rPr>
          <w:rFonts w:ascii="Century Gothic" w:hAnsi="Century Gothic"/>
        </w:rPr>
        <w:t>BFMAT</w:t>
      </w:r>
      <w:r w:rsidRPr="002F1507">
        <w:rPr>
          <w:rFonts w:ascii="Century Gothic" w:hAnsi="Century Gothic"/>
        </w:rPr>
        <w:t xml:space="preserve"> is committed to ensuring that all support posts across the Trust are appropriately and consistently graded irrespective of the gender of the post holder.</w:t>
      </w:r>
      <w:r w:rsidRPr="00D53A4B">
        <w:rPr>
          <w:rFonts w:ascii="Century Gothic" w:hAnsi="Century Gothic"/>
        </w:rPr>
        <w:t xml:space="preserve"> </w:t>
      </w:r>
      <w:r>
        <w:rPr>
          <w:rFonts w:ascii="Century Gothic" w:hAnsi="Century Gothic"/>
        </w:rPr>
        <w:t xml:space="preserve"> The MAT is reviewing pay scales across each college to ensure consistency of pay scales for job roles. However, </w:t>
      </w:r>
      <w:r w:rsidRPr="002F1507">
        <w:rPr>
          <w:rFonts w:ascii="Century Gothic" w:hAnsi="Century Gothic"/>
        </w:rPr>
        <w:t xml:space="preserve">Pay scales for teachers and support staff are set nationally and not at </w:t>
      </w:r>
      <w:r>
        <w:rPr>
          <w:rFonts w:ascii="Century Gothic" w:hAnsi="Century Gothic"/>
        </w:rPr>
        <w:t xml:space="preserve">college </w:t>
      </w:r>
      <w:r w:rsidRPr="002F1507">
        <w:rPr>
          <w:rFonts w:ascii="Century Gothic" w:hAnsi="Century Gothic"/>
        </w:rPr>
        <w:t>level</w:t>
      </w:r>
      <w:r>
        <w:rPr>
          <w:rFonts w:ascii="Century Gothic" w:hAnsi="Century Gothic"/>
        </w:rPr>
        <w:t xml:space="preserve">. </w:t>
      </w:r>
    </w:p>
    <w:p w14:paraId="1FEDFCDD" w14:textId="77777777" w:rsidR="009B12DE" w:rsidRPr="002F1507" w:rsidRDefault="009B12DE" w:rsidP="009B12DE">
      <w:pPr>
        <w:pStyle w:val="BodyText"/>
        <w:spacing w:before="2"/>
        <w:rPr>
          <w:rFonts w:ascii="Century Gothic" w:hAnsi="Century Gothic"/>
        </w:rPr>
      </w:pPr>
    </w:p>
    <w:p w14:paraId="080A63C2" w14:textId="77777777" w:rsidR="009B12DE" w:rsidRPr="002F1507" w:rsidRDefault="009B12DE" w:rsidP="009B12DE">
      <w:pPr>
        <w:pStyle w:val="BodyText"/>
        <w:ind w:left="478" w:right="105"/>
        <w:jc w:val="both"/>
        <w:rPr>
          <w:rFonts w:ascii="Century Gothic" w:hAnsi="Century Gothic"/>
        </w:rPr>
      </w:pPr>
      <w:r w:rsidRPr="002F1507">
        <w:rPr>
          <w:rFonts w:ascii="Century Gothic" w:hAnsi="Century Gothic"/>
        </w:rPr>
        <w:t>Working with both the public sector and specifically education, it is common for a high proportion of the workforce to be female.</w:t>
      </w:r>
    </w:p>
    <w:p w14:paraId="06AF393C" w14:textId="77777777" w:rsidR="009B12DE" w:rsidRPr="002F1507" w:rsidRDefault="009B12DE" w:rsidP="009B12DE">
      <w:pPr>
        <w:pStyle w:val="BodyText"/>
        <w:spacing w:before="11"/>
        <w:rPr>
          <w:rFonts w:ascii="Century Gothic" w:hAnsi="Century Gothic"/>
          <w:sz w:val="23"/>
        </w:rPr>
      </w:pPr>
    </w:p>
    <w:p w14:paraId="0B3378A2" w14:textId="77777777" w:rsidR="009B12DE" w:rsidRPr="002F1507" w:rsidRDefault="009B12DE" w:rsidP="009B12DE">
      <w:pPr>
        <w:pStyle w:val="BodyText"/>
        <w:ind w:left="478" w:right="100"/>
        <w:jc w:val="both"/>
        <w:rPr>
          <w:rFonts w:ascii="Century Gothic" w:hAnsi="Century Gothic"/>
        </w:rPr>
      </w:pPr>
      <w:r w:rsidRPr="002F1507">
        <w:rPr>
          <w:rFonts w:ascii="Century Gothic" w:hAnsi="Century Gothic"/>
        </w:rPr>
        <w:t>We are committed to Equality, Diversity and Inclusion values that ensure that all stakeholders of the Trust feel respected and valued and that the principles of openness, transparency, fairness and equality are applied across the</w:t>
      </w:r>
      <w:r w:rsidRPr="002F1507">
        <w:rPr>
          <w:rFonts w:ascii="Century Gothic" w:hAnsi="Century Gothic"/>
          <w:spacing w:val="-4"/>
        </w:rPr>
        <w:t xml:space="preserve"> </w:t>
      </w:r>
      <w:r w:rsidRPr="002F1507">
        <w:rPr>
          <w:rFonts w:ascii="Century Gothic" w:hAnsi="Century Gothic"/>
        </w:rPr>
        <w:t>Trust.</w:t>
      </w:r>
    </w:p>
    <w:p w14:paraId="50A79D6A" w14:textId="77777777" w:rsidR="009B12DE" w:rsidRPr="002F1507" w:rsidRDefault="009B12DE" w:rsidP="009B12DE">
      <w:pPr>
        <w:pStyle w:val="BodyText"/>
        <w:rPr>
          <w:rFonts w:ascii="Century Gothic" w:hAnsi="Century Gothic"/>
        </w:rPr>
      </w:pPr>
    </w:p>
    <w:p w14:paraId="494EDF0C" w14:textId="77777777" w:rsidR="009B12DE" w:rsidRPr="002F1507" w:rsidRDefault="009B12DE" w:rsidP="009B12DE">
      <w:pPr>
        <w:pStyle w:val="BodyText"/>
        <w:spacing w:line="242" w:lineRule="auto"/>
        <w:ind w:left="478" w:right="104"/>
        <w:jc w:val="both"/>
        <w:rPr>
          <w:rFonts w:ascii="Century Gothic" w:hAnsi="Century Gothic"/>
        </w:rPr>
      </w:pPr>
      <w:r w:rsidRPr="002F1507">
        <w:rPr>
          <w:rFonts w:ascii="Century Gothic" w:hAnsi="Century Gothic"/>
        </w:rPr>
        <w:t>We will seek to challenge the historical imbalance in the education sector where a disproportionate number of lower paid support staff roles are occupied by female employees.</w:t>
      </w:r>
    </w:p>
    <w:p w14:paraId="3C2ACAED" w14:textId="77777777" w:rsidR="009B12DE" w:rsidRDefault="009B12DE" w:rsidP="009B12DE">
      <w:pPr>
        <w:pStyle w:val="BodyText"/>
        <w:spacing w:before="2"/>
        <w:rPr>
          <w:rFonts w:ascii="Century Gothic" w:hAnsi="Century Gothic"/>
          <w:sz w:val="42"/>
        </w:rPr>
      </w:pPr>
      <w:bookmarkStart w:id="5" w:name="_bookmark7"/>
      <w:bookmarkEnd w:id="5"/>
    </w:p>
    <w:p w14:paraId="30E712EB" w14:textId="77777777" w:rsidR="009B12DE" w:rsidRPr="00D53A4B" w:rsidRDefault="009B12DE" w:rsidP="009B12DE">
      <w:pPr>
        <w:pStyle w:val="BodyText"/>
        <w:numPr>
          <w:ilvl w:val="0"/>
          <w:numId w:val="5"/>
        </w:numPr>
        <w:jc w:val="left"/>
        <w:rPr>
          <w:rFonts w:ascii="Century Gothic" w:hAnsi="Century Gothic"/>
          <w:b/>
          <w:bCs/>
          <w:color w:val="2D74B5"/>
        </w:rPr>
      </w:pPr>
      <w:r w:rsidRPr="00D53A4B">
        <w:rPr>
          <w:rFonts w:ascii="Century Gothic" w:hAnsi="Century Gothic"/>
          <w:b/>
          <w:bCs/>
          <w:color w:val="2D74B5"/>
        </w:rPr>
        <w:t>Conclusion</w:t>
      </w:r>
    </w:p>
    <w:p w14:paraId="2BCD8555" w14:textId="77777777" w:rsidR="009B12DE" w:rsidRDefault="009B12DE" w:rsidP="009B12DE">
      <w:pPr>
        <w:pStyle w:val="BodyText"/>
        <w:ind w:left="906"/>
        <w:jc w:val="center"/>
        <w:rPr>
          <w:rFonts w:ascii="Century Gothic" w:hAnsi="Century Gothic"/>
        </w:rPr>
      </w:pPr>
    </w:p>
    <w:p w14:paraId="0680DE0E" w14:textId="77777777" w:rsidR="009B12DE" w:rsidRPr="002F1507" w:rsidRDefault="009B12DE" w:rsidP="009B12DE">
      <w:pPr>
        <w:pStyle w:val="BodyText"/>
        <w:ind w:left="906"/>
        <w:rPr>
          <w:rFonts w:ascii="Century Gothic" w:hAnsi="Century Gothic"/>
        </w:rPr>
      </w:pPr>
      <w:r w:rsidRPr="002F1507">
        <w:rPr>
          <w:rFonts w:ascii="Century Gothic" w:hAnsi="Century Gothic"/>
        </w:rPr>
        <w:t xml:space="preserve">I can confirm that the information collated in the report has been drawn from </w:t>
      </w:r>
      <w:r>
        <w:rPr>
          <w:rFonts w:ascii="Century Gothic" w:hAnsi="Century Gothic"/>
        </w:rPr>
        <w:t xml:space="preserve">our payroll records </w:t>
      </w:r>
      <w:r w:rsidRPr="002F1507">
        <w:rPr>
          <w:rFonts w:ascii="Century Gothic" w:hAnsi="Century Gothic"/>
        </w:rPr>
        <w:t>and is an accurate reflection of the position relating to gender pay in our academies.</w:t>
      </w:r>
    </w:p>
    <w:p w14:paraId="18D38034" w14:textId="77777777" w:rsidR="009B12DE" w:rsidRPr="002F1507" w:rsidRDefault="009B12DE" w:rsidP="009B12DE">
      <w:pPr>
        <w:pStyle w:val="BodyText"/>
        <w:rPr>
          <w:rFonts w:ascii="Century Gothic" w:hAnsi="Century Gothic"/>
          <w:sz w:val="20"/>
        </w:rPr>
      </w:pPr>
    </w:p>
    <w:p w14:paraId="1EED180A" w14:textId="77777777" w:rsidR="009B12DE" w:rsidRDefault="009B12DE" w:rsidP="009B12DE">
      <w:pPr>
        <w:pStyle w:val="BodyText"/>
        <w:rPr>
          <w:rFonts w:ascii="Century Gothic" w:hAnsi="Century Gothic"/>
          <w:sz w:val="20"/>
        </w:rPr>
      </w:pPr>
    </w:p>
    <w:p w14:paraId="08BFFD52" w14:textId="0CBB8A21" w:rsidR="009B12DE" w:rsidRDefault="005B4790" w:rsidP="009B12DE">
      <w:pPr>
        <w:pStyle w:val="BodyText"/>
        <w:rPr>
          <w:rFonts w:ascii="Century Gothic" w:hAnsi="Century Gothic"/>
          <w:sz w:val="20"/>
        </w:rPr>
      </w:pPr>
      <w:r>
        <w:rPr>
          <w:rFonts w:ascii="Century Gothic" w:hAnsi="Century Gothic"/>
          <w:noProof/>
          <w:sz w:val="20"/>
        </w:rPr>
        <w:drawing>
          <wp:inline distT="0" distB="0" distL="0" distR="0" wp14:anchorId="0A38B627" wp14:editId="0C64A932">
            <wp:extent cx="731520"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475615"/>
                    </a:xfrm>
                    <a:prstGeom prst="rect">
                      <a:avLst/>
                    </a:prstGeom>
                    <a:noFill/>
                  </pic:spPr>
                </pic:pic>
              </a:graphicData>
            </a:graphic>
          </wp:inline>
        </w:drawing>
      </w:r>
    </w:p>
    <w:p w14:paraId="07D2554B" w14:textId="77777777" w:rsidR="009B12DE" w:rsidRDefault="009B12DE" w:rsidP="009B12DE">
      <w:pPr>
        <w:pStyle w:val="BodyText"/>
        <w:rPr>
          <w:rFonts w:ascii="Century Gothic" w:hAnsi="Century Gothic"/>
          <w:sz w:val="20"/>
        </w:rPr>
      </w:pPr>
    </w:p>
    <w:p w14:paraId="3FD62383" w14:textId="77777777" w:rsidR="009B12DE" w:rsidRDefault="009B12DE" w:rsidP="009B12DE">
      <w:pPr>
        <w:pStyle w:val="Heading1"/>
        <w:ind w:left="478" w:right="5484"/>
        <w:rPr>
          <w:rFonts w:ascii="Century Gothic" w:hAnsi="Century Gothic"/>
        </w:rPr>
      </w:pPr>
      <w:r>
        <w:rPr>
          <w:rFonts w:ascii="Century Gothic" w:hAnsi="Century Gothic"/>
        </w:rPr>
        <w:t>Uly Lyons</w:t>
      </w:r>
    </w:p>
    <w:p w14:paraId="151D3F05" w14:textId="77777777" w:rsidR="009B12DE" w:rsidRDefault="009B12DE" w:rsidP="009B12DE">
      <w:pPr>
        <w:pStyle w:val="Heading1"/>
        <w:ind w:left="478" w:right="5484"/>
        <w:rPr>
          <w:rFonts w:ascii="Century Gothic" w:hAnsi="Century Gothic"/>
        </w:rPr>
      </w:pPr>
      <w:r w:rsidRPr="002F1507">
        <w:rPr>
          <w:rFonts w:ascii="Century Gothic" w:hAnsi="Century Gothic"/>
        </w:rPr>
        <w:t xml:space="preserve">Chief </w:t>
      </w:r>
      <w:r>
        <w:rPr>
          <w:rFonts w:ascii="Century Gothic" w:hAnsi="Century Gothic"/>
        </w:rPr>
        <w:t xml:space="preserve">Executive </w:t>
      </w:r>
      <w:r w:rsidRPr="002F1507">
        <w:rPr>
          <w:rFonts w:ascii="Century Gothic" w:hAnsi="Century Gothic"/>
        </w:rPr>
        <w:t xml:space="preserve">Officer </w:t>
      </w:r>
    </w:p>
    <w:p w14:paraId="1E0761E9" w14:textId="77777777" w:rsidR="009B12DE" w:rsidRDefault="009B12DE" w:rsidP="009B12DE">
      <w:pPr>
        <w:pStyle w:val="Heading1"/>
        <w:ind w:left="478" w:right="5484"/>
        <w:rPr>
          <w:rFonts w:ascii="Century Gothic" w:hAnsi="Century Gothic"/>
        </w:rPr>
      </w:pPr>
      <w:r>
        <w:rPr>
          <w:rFonts w:ascii="Century Gothic" w:hAnsi="Century Gothic"/>
        </w:rPr>
        <w:t xml:space="preserve">BFMAT </w:t>
      </w:r>
    </w:p>
    <w:p w14:paraId="67A67A39" w14:textId="4565FBD2" w:rsidR="009B12DE" w:rsidRDefault="005E3560" w:rsidP="00BB5EAE">
      <w:pPr>
        <w:pStyle w:val="Heading1"/>
        <w:ind w:left="478" w:right="5484"/>
        <w:rPr>
          <w:rFonts w:ascii="Century Gothic" w:hAnsi="Century Gothic" w:cs="Arial"/>
          <w:b w:val="0"/>
          <w:sz w:val="22"/>
          <w:szCs w:val="22"/>
        </w:rPr>
      </w:pPr>
      <w:r>
        <w:rPr>
          <w:rFonts w:ascii="Century Gothic" w:hAnsi="Century Gothic"/>
        </w:rPr>
        <w:t>17</w:t>
      </w:r>
      <w:r w:rsidRPr="005E3560">
        <w:rPr>
          <w:rFonts w:ascii="Century Gothic" w:hAnsi="Century Gothic"/>
          <w:vertAlign w:val="superscript"/>
        </w:rPr>
        <w:t>th</w:t>
      </w:r>
      <w:r>
        <w:rPr>
          <w:rFonts w:ascii="Century Gothic" w:hAnsi="Century Gothic"/>
        </w:rPr>
        <w:t xml:space="preserve"> March 2025</w:t>
      </w:r>
    </w:p>
    <w:sectPr w:rsidR="009B12DE" w:rsidSect="006D0F0C">
      <w:headerReference w:type="default" r:id="rId12"/>
      <w:footerReference w:type="default" r:id="rId13"/>
      <w:pgSz w:w="11906" w:h="16838"/>
      <w:pgMar w:top="2268"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95A6" w14:textId="77777777" w:rsidR="0039177E" w:rsidRDefault="0039177E" w:rsidP="00DE6490">
      <w:r>
        <w:separator/>
      </w:r>
    </w:p>
  </w:endnote>
  <w:endnote w:type="continuationSeparator" w:id="0">
    <w:p w14:paraId="6DB4C1B1" w14:textId="77777777" w:rsidR="0039177E" w:rsidRDefault="0039177E" w:rsidP="00D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59E2" w14:textId="0714DF62" w:rsidR="00783BC0" w:rsidRPr="00783BC0" w:rsidRDefault="00783BC0" w:rsidP="00783B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A593" w14:textId="77777777" w:rsidR="0039177E" w:rsidRDefault="0039177E" w:rsidP="00DE6490">
      <w:r>
        <w:separator/>
      </w:r>
    </w:p>
  </w:footnote>
  <w:footnote w:type="continuationSeparator" w:id="0">
    <w:p w14:paraId="2D7393AA" w14:textId="77777777" w:rsidR="0039177E" w:rsidRDefault="0039177E" w:rsidP="00DE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DDF" w14:textId="0CD9B0D5" w:rsidR="00DE6490" w:rsidRDefault="0014070B" w:rsidP="0014070B">
    <w:pPr>
      <w:pStyle w:val="Header"/>
    </w:pPr>
    <w:r>
      <w:rPr>
        <w:noProof/>
        <w:lang w:eastAsia="en-GB"/>
      </w:rPr>
      <w:drawing>
        <wp:inline distT="0" distB="0" distL="0" distR="0" wp14:anchorId="1661A184" wp14:editId="78385D6F">
          <wp:extent cx="2780030" cy="5549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65F6"/>
    <w:multiLevelType w:val="hybridMultilevel"/>
    <w:tmpl w:val="8600485E"/>
    <w:lvl w:ilvl="0" w:tplc="C72ED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0196A"/>
    <w:multiLevelType w:val="hybridMultilevel"/>
    <w:tmpl w:val="86B2E3E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 w15:restartNumberingAfterBreak="0">
    <w:nsid w:val="3ABB4F80"/>
    <w:multiLevelType w:val="hybridMultilevel"/>
    <w:tmpl w:val="46602C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ABC717B"/>
    <w:multiLevelType w:val="hybridMultilevel"/>
    <w:tmpl w:val="A948B7DA"/>
    <w:lvl w:ilvl="0" w:tplc="CA18B0F6">
      <w:start w:val="1"/>
      <w:numFmt w:val="decimal"/>
      <w:lvlText w:val="%1."/>
      <w:lvlJc w:val="left"/>
      <w:pPr>
        <w:ind w:left="918" w:hanging="440"/>
        <w:jc w:val="left"/>
      </w:pPr>
      <w:rPr>
        <w:rFonts w:ascii="Caladea" w:eastAsia="Caladea" w:hAnsi="Caladea" w:cs="Caladea" w:hint="default"/>
        <w:spacing w:val="-1"/>
        <w:w w:val="99"/>
        <w:sz w:val="24"/>
        <w:szCs w:val="24"/>
        <w:lang w:val="en-US" w:eastAsia="en-US" w:bidi="ar-SA"/>
      </w:rPr>
    </w:lvl>
    <w:lvl w:ilvl="1" w:tplc="4DA88F6E">
      <w:numFmt w:val="bullet"/>
      <w:lvlText w:val="•"/>
      <w:lvlJc w:val="left"/>
      <w:pPr>
        <w:ind w:left="1821" w:hanging="440"/>
      </w:pPr>
      <w:rPr>
        <w:rFonts w:hint="default"/>
        <w:lang w:val="en-US" w:eastAsia="en-US" w:bidi="ar-SA"/>
      </w:rPr>
    </w:lvl>
    <w:lvl w:ilvl="2" w:tplc="1A9E6F0E">
      <w:numFmt w:val="bullet"/>
      <w:lvlText w:val="•"/>
      <w:lvlJc w:val="left"/>
      <w:pPr>
        <w:ind w:left="2723" w:hanging="440"/>
      </w:pPr>
      <w:rPr>
        <w:rFonts w:hint="default"/>
        <w:lang w:val="en-US" w:eastAsia="en-US" w:bidi="ar-SA"/>
      </w:rPr>
    </w:lvl>
    <w:lvl w:ilvl="3" w:tplc="E444A5DE">
      <w:numFmt w:val="bullet"/>
      <w:lvlText w:val="•"/>
      <w:lvlJc w:val="left"/>
      <w:pPr>
        <w:ind w:left="3625" w:hanging="440"/>
      </w:pPr>
      <w:rPr>
        <w:rFonts w:hint="default"/>
        <w:lang w:val="en-US" w:eastAsia="en-US" w:bidi="ar-SA"/>
      </w:rPr>
    </w:lvl>
    <w:lvl w:ilvl="4" w:tplc="D4288366">
      <w:numFmt w:val="bullet"/>
      <w:lvlText w:val="•"/>
      <w:lvlJc w:val="left"/>
      <w:pPr>
        <w:ind w:left="4527" w:hanging="440"/>
      </w:pPr>
      <w:rPr>
        <w:rFonts w:hint="default"/>
        <w:lang w:val="en-US" w:eastAsia="en-US" w:bidi="ar-SA"/>
      </w:rPr>
    </w:lvl>
    <w:lvl w:ilvl="5" w:tplc="614C2524">
      <w:numFmt w:val="bullet"/>
      <w:lvlText w:val="•"/>
      <w:lvlJc w:val="left"/>
      <w:pPr>
        <w:ind w:left="5429" w:hanging="440"/>
      </w:pPr>
      <w:rPr>
        <w:rFonts w:hint="default"/>
        <w:lang w:val="en-US" w:eastAsia="en-US" w:bidi="ar-SA"/>
      </w:rPr>
    </w:lvl>
    <w:lvl w:ilvl="6" w:tplc="1D7C80C2">
      <w:numFmt w:val="bullet"/>
      <w:lvlText w:val="•"/>
      <w:lvlJc w:val="left"/>
      <w:pPr>
        <w:ind w:left="6331" w:hanging="440"/>
      </w:pPr>
      <w:rPr>
        <w:rFonts w:hint="default"/>
        <w:lang w:val="en-US" w:eastAsia="en-US" w:bidi="ar-SA"/>
      </w:rPr>
    </w:lvl>
    <w:lvl w:ilvl="7" w:tplc="2AC05868">
      <w:numFmt w:val="bullet"/>
      <w:lvlText w:val="•"/>
      <w:lvlJc w:val="left"/>
      <w:pPr>
        <w:ind w:left="7233" w:hanging="440"/>
      </w:pPr>
      <w:rPr>
        <w:rFonts w:hint="default"/>
        <w:lang w:val="en-US" w:eastAsia="en-US" w:bidi="ar-SA"/>
      </w:rPr>
    </w:lvl>
    <w:lvl w:ilvl="8" w:tplc="F6608C18">
      <w:numFmt w:val="bullet"/>
      <w:lvlText w:val="•"/>
      <w:lvlJc w:val="left"/>
      <w:pPr>
        <w:ind w:left="8135" w:hanging="440"/>
      </w:pPr>
      <w:rPr>
        <w:rFonts w:hint="default"/>
        <w:lang w:val="en-US" w:eastAsia="en-US" w:bidi="ar-SA"/>
      </w:rPr>
    </w:lvl>
  </w:abstractNum>
  <w:abstractNum w:abstractNumId="4" w15:restartNumberingAfterBreak="0">
    <w:nsid w:val="70745728"/>
    <w:multiLevelType w:val="hybridMultilevel"/>
    <w:tmpl w:val="BAAE1E8E"/>
    <w:lvl w:ilvl="0" w:tplc="B5642D98">
      <w:start w:val="1"/>
      <w:numFmt w:val="decimal"/>
      <w:lvlText w:val="%1."/>
      <w:lvlJc w:val="left"/>
      <w:pPr>
        <w:ind w:left="906" w:hanging="360"/>
        <w:jc w:val="right"/>
      </w:pPr>
      <w:rPr>
        <w:rFonts w:ascii="Carlito" w:eastAsia="Carlito" w:hAnsi="Carlito" w:cs="Carlito" w:hint="default"/>
        <w:b/>
        <w:bCs/>
        <w:color w:val="2D74B5"/>
        <w:spacing w:val="-2"/>
        <w:w w:val="100"/>
        <w:sz w:val="24"/>
        <w:szCs w:val="24"/>
        <w:lang w:val="en-US" w:eastAsia="en-US" w:bidi="ar-SA"/>
      </w:rPr>
    </w:lvl>
    <w:lvl w:ilvl="1" w:tplc="83FE245C">
      <w:numFmt w:val="bullet"/>
      <w:lvlText w:val=""/>
      <w:lvlJc w:val="left"/>
      <w:pPr>
        <w:ind w:left="1918" w:hanging="360"/>
      </w:pPr>
      <w:rPr>
        <w:rFonts w:ascii="Symbol" w:eastAsia="Symbol" w:hAnsi="Symbol" w:cs="Symbol" w:hint="default"/>
        <w:color w:val="5B9BD4"/>
        <w:w w:val="100"/>
        <w:sz w:val="24"/>
        <w:szCs w:val="24"/>
        <w:lang w:val="en-US" w:eastAsia="en-US" w:bidi="ar-SA"/>
      </w:rPr>
    </w:lvl>
    <w:lvl w:ilvl="2" w:tplc="2E2CBD3A">
      <w:numFmt w:val="bullet"/>
      <w:lvlText w:val="•"/>
      <w:lvlJc w:val="left"/>
      <w:pPr>
        <w:ind w:left="2811" w:hanging="360"/>
      </w:pPr>
      <w:rPr>
        <w:rFonts w:hint="default"/>
        <w:lang w:val="en-US" w:eastAsia="en-US" w:bidi="ar-SA"/>
      </w:rPr>
    </w:lvl>
    <w:lvl w:ilvl="3" w:tplc="ECCAA89A">
      <w:numFmt w:val="bullet"/>
      <w:lvlText w:val="•"/>
      <w:lvlJc w:val="left"/>
      <w:pPr>
        <w:ind w:left="3702" w:hanging="360"/>
      </w:pPr>
      <w:rPr>
        <w:rFonts w:hint="default"/>
        <w:lang w:val="en-US" w:eastAsia="en-US" w:bidi="ar-SA"/>
      </w:rPr>
    </w:lvl>
    <w:lvl w:ilvl="4" w:tplc="BCF6B778">
      <w:numFmt w:val="bullet"/>
      <w:lvlText w:val="•"/>
      <w:lvlJc w:val="left"/>
      <w:pPr>
        <w:ind w:left="4593" w:hanging="360"/>
      </w:pPr>
      <w:rPr>
        <w:rFonts w:hint="default"/>
        <w:lang w:val="en-US" w:eastAsia="en-US" w:bidi="ar-SA"/>
      </w:rPr>
    </w:lvl>
    <w:lvl w:ilvl="5" w:tplc="F0C2F2F8">
      <w:numFmt w:val="bullet"/>
      <w:lvlText w:val="•"/>
      <w:lvlJc w:val="left"/>
      <w:pPr>
        <w:ind w:left="5484" w:hanging="360"/>
      </w:pPr>
      <w:rPr>
        <w:rFonts w:hint="default"/>
        <w:lang w:val="en-US" w:eastAsia="en-US" w:bidi="ar-SA"/>
      </w:rPr>
    </w:lvl>
    <w:lvl w:ilvl="6" w:tplc="A9325EEE">
      <w:numFmt w:val="bullet"/>
      <w:lvlText w:val="•"/>
      <w:lvlJc w:val="left"/>
      <w:pPr>
        <w:ind w:left="6375" w:hanging="360"/>
      </w:pPr>
      <w:rPr>
        <w:rFonts w:hint="default"/>
        <w:lang w:val="en-US" w:eastAsia="en-US" w:bidi="ar-SA"/>
      </w:rPr>
    </w:lvl>
    <w:lvl w:ilvl="7" w:tplc="4EE63FE8">
      <w:numFmt w:val="bullet"/>
      <w:lvlText w:val="•"/>
      <w:lvlJc w:val="left"/>
      <w:pPr>
        <w:ind w:left="7266" w:hanging="360"/>
      </w:pPr>
      <w:rPr>
        <w:rFonts w:hint="default"/>
        <w:lang w:val="en-US" w:eastAsia="en-US" w:bidi="ar-SA"/>
      </w:rPr>
    </w:lvl>
    <w:lvl w:ilvl="8" w:tplc="FB709258">
      <w:numFmt w:val="bullet"/>
      <w:lvlText w:val="•"/>
      <w:lvlJc w:val="left"/>
      <w:pPr>
        <w:ind w:left="8157" w:hanging="360"/>
      </w:pPr>
      <w:rPr>
        <w:rFonts w:hint="default"/>
        <w:lang w:val="en-US" w:eastAsia="en-US" w:bidi="ar-SA"/>
      </w:rPr>
    </w:lvl>
  </w:abstractNum>
  <w:abstractNum w:abstractNumId="5" w15:restartNumberingAfterBreak="0">
    <w:nsid w:val="76CA067D"/>
    <w:multiLevelType w:val="hybridMultilevel"/>
    <w:tmpl w:val="1E84FA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05825166">
    <w:abstractNumId w:val="0"/>
  </w:num>
  <w:num w:numId="2" w16cid:durableId="551767950">
    <w:abstractNumId w:val="5"/>
  </w:num>
  <w:num w:numId="3" w16cid:durableId="855729770">
    <w:abstractNumId w:val="2"/>
  </w:num>
  <w:num w:numId="4" w16cid:durableId="171379014">
    <w:abstractNumId w:val="1"/>
  </w:num>
  <w:num w:numId="5" w16cid:durableId="912006656">
    <w:abstractNumId w:val="4"/>
  </w:num>
  <w:num w:numId="6" w16cid:durableId="13160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95"/>
    <w:rsid w:val="0001783A"/>
    <w:rsid w:val="000230FE"/>
    <w:rsid w:val="00024B30"/>
    <w:rsid w:val="00025752"/>
    <w:rsid w:val="00043B4A"/>
    <w:rsid w:val="00044608"/>
    <w:rsid w:val="00046CCB"/>
    <w:rsid w:val="00050D08"/>
    <w:rsid w:val="000535D7"/>
    <w:rsid w:val="000553DA"/>
    <w:rsid w:val="00055BA6"/>
    <w:rsid w:val="00055CB5"/>
    <w:rsid w:val="00060527"/>
    <w:rsid w:val="000714B6"/>
    <w:rsid w:val="000737FD"/>
    <w:rsid w:val="00074F08"/>
    <w:rsid w:val="0008084E"/>
    <w:rsid w:val="00087CA0"/>
    <w:rsid w:val="000A168F"/>
    <w:rsid w:val="000A4E49"/>
    <w:rsid w:val="000B08A1"/>
    <w:rsid w:val="000B61D2"/>
    <w:rsid w:val="000C3EE2"/>
    <w:rsid w:val="000E0E0B"/>
    <w:rsid w:val="000F2568"/>
    <w:rsid w:val="000F386B"/>
    <w:rsid w:val="000F45B1"/>
    <w:rsid w:val="00113073"/>
    <w:rsid w:val="001217DF"/>
    <w:rsid w:val="00126107"/>
    <w:rsid w:val="00130582"/>
    <w:rsid w:val="00132C28"/>
    <w:rsid w:val="00134D89"/>
    <w:rsid w:val="00135E86"/>
    <w:rsid w:val="0014070B"/>
    <w:rsid w:val="00140D18"/>
    <w:rsid w:val="0016091C"/>
    <w:rsid w:val="0019443B"/>
    <w:rsid w:val="001A3B06"/>
    <w:rsid w:val="001C2C0C"/>
    <w:rsid w:val="001C4BD5"/>
    <w:rsid w:val="001C612B"/>
    <w:rsid w:val="001D0EB0"/>
    <w:rsid w:val="001F1600"/>
    <w:rsid w:val="001F2610"/>
    <w:rsid w:val="001F39E8"/>
    <w:rsid w:val="001F52A1"/>
    <w:rsid w:val="001F79EB"/>
    <w:rsid w:val="001F7EDF"/>
    <w:rsid w:val="0021299E"/>
    <w:rsid w:val="00215E4A"/>
    <w:rsid w:val="00255477"/>
    <w:rsid w:val="00256E33"/>
    <w:rsid w:val="00260DD6"/>
    <w:rsid w:val="00261FF0"/>
    <w:rsid w:val="00263F2C"/>
    <w:rsid w:val="002643D4"/>
    <w:rsid w:val="0026492E"/>
    <w:rsid w:val="00281F57"/>
    <w:rsid w:val="00295F98"/>
    <w:rsid w:val="00297158"/>
    <w:rsid w:val="002A4FBF"/>
    <w:rsid w:val="002A6257"/>
    <w:rsid w:val="002A6E83"/>
    <w:rsid w:val="002C0208"/>
    <w:rsid w:val="002D0338"/>
    <w:rsid w:val="002D0963"/>
    <w:rsid w:val="002D4585"/>
    <w:rsid w:val="002F4D23"/>
    <w:rsid w:val="00310931"/>
    <w:rsid w:val="0032639D"/>
    <w:rsid w:val="0032754E"/>
    <w:rsid w:val="00336533"/>
    <w:rsid w:val="0033674F"/>
    <w:rsid w:val="00344599"/>
    <w:rsid w:val="0035403C"/>
    <w:rsid w:val="0036042A"/>
    <w:rsid w:val="0037288B"/>
    <w:rsid w:val="003733D3"/>
    <w:rsid w:val="00376207"/>
    <w:rsid w:val="0039177E"/>
    <w:rsid w:val="003967D1"/>
    <w:rsid w:val="003B02D5"/>
    <w:rsid w:val="003B47F3"/>
    <w:rsid w:val="003C1925"/>
    <w:rsid w:val="003D525E"/>
    <w:rsid w:val="003E21F4"/>
    <w:rsid w:val="003E27B0"/>
    <w:rsid w:val="0041750D"/>
    <w:rsid w:val="004179D5"/>
    <w:rsid w:val="00423C66"/>
    <w:rsid w:val="00435F04"/>
    <w:rsid w:val="00452264"/>
    <w:rsid w:val="004523D6"/>
    <w:rsid w:val="00462A00"/>
    <w:rsid w:val="00464CB9"/>
    <w:rsid w:val="00466E5F"/>
    <w:rsid w:val="00471130"/>
    <w:rsid w:val="0048465F"/>
    <w:rsid w:val="004A1F4C"/>
    <w:rsid w:val="004A50F5"/>
    <w:rsid w:val="004A5FC4"/>
    <w:rsid w:val="004B453A"/>
    <w:rsid w:val="004B671D"/>
    <w:rsid w:val="004C4321"/>
    <w:rsid w:val="004C5E69"/>
    <w:rsid w:val="004C7CD2"/>
    <w:rsid w:val="004E7858"/>
    <w:rsid w:val="004F5271"/>
    <w:rsid w:val="004F7B17"/>
    <w:rsid w:val="005065AD"/>
    <w:rsid w:val="00510172"/>
    <w:rsid w:val="00514C7F"/>
    <w:rsid w:val="00516B0E"/>
    <w:rsid w:val="005571E6"/>
    <w:rsid w:val="00575644"/>
    <w:rsid w:val="005849BD"/>
    <w:rsid w:val="0058603B"/>
    <w:rsid w:val="005B4790"/>
    <w:rsid w:val="005C0CBD"/>
    <w:rsid w:val="005D3132"/>
    <w:rsid w:val="005D4FAA"/>
    <w:rsid w:val="005E1E8D"/>
    <w:rsid w:val="005E3560"/>
    <w:rsid w:val="005E7AA1"/>
    <w:rsid w:val="005E7B35"/>
    <w:rsid w:val="00600184"/>
    <w:rsid w:val="00610914"/>
    <w:rsid w:val="00612406"/>
    <w:rsid w:val="00614689"/>
    <w:rsid w:val="006301DD"/>
    <w:rsid w:val="0063532D"/>
    <w:rsid w:val="0064234B"/>
    <w:rsid w:val="0064250B"/>
    <w:rsid w:val="0065065E"/>
    <w:rsid w:val="006544C7"/>
    <w:rsid w:val="006673D9"/>
    <w:rsid w:val="006674D7"/>
    <w:rsid w:val="00670650"/>
    <w:rsid w:val="00682F8E"/>
    <w:rsid w:val="006850DA"/>
    <w:rsid w:val="006909BF"/>
    <w:rsid w:val="00692E23"/>
    <w:rsid w:val="0069347E"/>
    <w:rsid w:val="0069538E"/>
    <w:rsid w:val="00695476"/>
    <w:rsid w:val="006A2467"/>
    <w:rsid w:val="006B3ED1"/>
    <w:rsid w:val="006D0F0C"/>
    <w:rsid w:val="006D1DE2"/>
    <w:rsid w:val="006D1FB5"/>
    <w:rsid w:val="006D7FF8"/>
    <w:rsid w:val="006E6A62"/>
    <w:rsid w:val="00705F5A"/>
    <w:rsid w:val="00715BAD"/>
    <w:rsid w:val="00716B4F"/>
    <w:rsid w:val="00720378"/>
    <w:rsid w:val="00724134"/>
    <w:rsid w:val="00736B91"/>
    <w:rsid w:val="00741A46"/>
    <w:rsid w:val="00766D30"/>
    <w:rsid w:val="00783BC0"/>
    <w:rsid w:val="00784869"/>
    <w:rsid w:val="00784981"/>
    <w:rsid w:val="00791CF8"/>
    <w:rsid w:val="007B3899"/>
    <w:rsid w:val="007D065B"/>
    <w:rsid w:val="008067C2"/>
    <w:rsid w:val="00812C96"/>
    <w:rsid w:val="00816571"/>
    <w:rsid w:val="00830601"/>
    <w:rsid w:val="008319FC"/>
    <w:rsid w:val="0084471E"/>
    <w:rsid w:val="00845254"/>
    <w:rsid w:val="00854448"/>
    <w:rsid w:val="0085634F"/>
    <w:rsid w:val="008639D4"/>
    <w:rsid w:val="00871193"/>
    <w:rsid w:val="00872DAC"/>
    <w:rsid w:val="00881A06"/>
    <w:rsid w:val="00896863"/>
    <w:rsid w:val="008A15E4"/>
    <w:rsid w:val="008A1D83"/>
    <w:rsid w:val="008C353B"/>
    <w:rsid w:val="008C7F5C"/>
    <w:rsid w:val="008D1E2A"/>
    <w:rsid w:val="008F0E90"/>
    <w:rsid w:val="00904C70"/>
    <w:rsid w:val="009062E2"/>
    <w:rsid w:val="00910011"/>
    <w:rsid w:val="00963C68"/>
    <w:rsid w:val="00964D94"/>
    <w:rsid w:val="009A4679"/>
    <w:rsid w:val="009B12DE"/>
    <w:rsid w:val="009B7B23"/>
    <w:rsid w:val="009C4F03"/>
    <w:rsid w:val="009C6480"/>
    <w:rsid w:val="009E7A91"/>
    <w:rsid w:val="009F387C"/>
    <w:rsid w:val="00A119B9"/>
    <w:rsid w:val="00A60470"/>
    <w:rsid w:val="00A61EE0"/>
    <w:rsid w:val="00A676BC"/>
    <w:rsid w:val="00A7735B"/>
    <w:rsid w:val="00A81EB0"/>
    <w:rsid w:val="00A90F95"/>
    <w:rsid w:val="00AD0867"/>
    <w:rsid w:val="00AD2BA8"/>
    <w:rsid w:val="00AD42B1"/>
    <w:rsid w:val="00AD5456"/>
    <w:rsid w:val="00B035E3"/>
    <w:rsid w:val="00B04869"/>
    <w:rsid w:val="00B052E1"/>
    <w:rsid w:val="00B1309F"/>
    <w:rsid w:val="00B278C4"/>
    <w:rsid w:val="00B403B6"/>
    <w:rsid w:val="00B50167"/>
    <w:rsid w:val="00B56137"/>
    <w:rsid w:val="00B61E21"/>
    <w:rsid w:val="00B750B9"/>
    <w:rsid w:val="00B81589"/>
    <w:rsid w:val="00B87C19"/>
    <w:rsid w:val="00B94464"/>
    <w:rsid w:val="00BA7B99"/>
    <w:rsid w:val="00BB5EAE"/>
    <w:rsid w:val="00BC54C9"/>
    <w:rsid w:val="00BD3C1A"/>
    <w:rsid w:val="00BE66FF"/>
    <w:rsid w:val="00BF0E52"/>
    <w:rsid w:val="00BF7B15"/>
    <w:rsid w:val="00C06A9D"/>
    <w:rsid w:val="00C07975"/>
    <w:rsid w:val="00C43CE7"/>
    <w:rsid w:val="00C502BD"/>
    <w:rsid w:val="00C74101"/>
    <w:rsid w:val="00C82793"/>
    <w:rsid w:val="00C87EA2"/>
    <w:rsid w:val="00C951E9"/>
    <w:rsid w:val="00CA5212"/>
    <w:rsid w:val="00CB1CBF"/>
    <w:rsid w:val="00CB3359"/>
    <w:rsid w:val="00CC2931"/>
    <w:rsid w:val="00CC5711"/>
    <w:rsid w:val="00CC6440"/>
    <w:rsid w:val="00CC724E"/>
    <w:rsid w:val="00CD14F0"/>
    <w:rsid w:val="00CD249A"/>
    <w:rsid w:val="00CD6F2C"/>
    <w:rsid w:val="00CE3C84"/>
    <w:rsid w:val="00CF5042"/>
    <w:rsid w:val="00D00189"/>
    <w:rsid w:val="00D14B53"/>
    <w:rsid w:val="00D2234F"/>
    <w:rsid w:val="00D342A7"/>
    <w:rsid w:val="00D35BFD"/>
    <w:rsid w:val="00D41347"/>
    <w:rsid w:val="00D45FB2"/>
    <w:rsid w:val="00D52F21"/>
    <w:rsid w:val="00D56B4B"/>
    <w:rsid w:val="00D57AEE"/>
    <w:rsid w:val="00D77246"/>
    <w:rsid w:val="00D827CC"/>
    <w:rsid w:val="00D927E9"/>
    <w:rsid w:val="00DB5DC7"/>
    <w:rsid w:val="00DC1E6C"/>
    <w:rsid w:val="00DD0C9E"/>
    <w:rsid w:val="00DE6490"/>
    <w:rsid w:val="00DF0DE0"/>
    <w:rsid w:val="00DF148C"/>
    <w:rsid w:val="00DF4016"/>
    <w:rsid w:val="00E03652"/>
    <w:rsid w:val="00E07D61"/>
    <w:rsid w:val="00E1200C"/>
    <w:rsid w:val="00E226ED"/>
    <w:rsid w:val="00E3013E"/>
    <w:rsid w:val="00E31B80"/>
    <w:rsid w:val="00E33964"/>
    <w:rsid w:val="00E46004"/>
    <w:rsid w:val="00E467F0"/>
    <w:rsid w:val="00E57595"/>
    <w:rsid w:val="00E60D92"/>
    <w:rsid w:val="00E616A2"/>
    <w:rsid w:val="00E722C8"/>
    <w:rsid w:val="00E73C51"/>
    <w:rsid w:val="00E77E40"/>
    <w:rsid w:val="00EB1C07"/>
    <w:rsid w:val="00EB2692"/>
    <w:rsid w:val="00EC6566"/>
    <w:rsid w:val="00ED365F"/>
    <w:rsid w:val="00ED7331"/>
    <w:rsid w:val="00EE3086"/>
    <w:rsid w:val="00EF04D3"/>
    <w:rsid w:val="00F10C5D"/>
    <w:rsid w:val="00F20A68"/>
    <w:rsid w:val="00F416CF"/>
    <w:rsid w:val="00F76A11"/>
    <w:rsid w:val="00F918F3"/>
    <w:rsid w:val="00F9493D"/>
    <w:rsid w:val="00F97F27"/>
    <w:rsid w:val="00FB0FC7"/>
    <w:rsid w:val="00FB5ECC"/>
    <w:rsid w:val="00FC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CFD9"/>
  <w15:chartTrackingRefBased/>
  <w15:docId w15:val="{D66E50F7-20A1-4312-B592-9855AF74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95"/>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E57595"/>
    <w:pPr>
      <w:keepNext/>
      <w:outlineLvl w:val="0"/>
    </w:pPr>
    <w:rPr>
      <w:rFonts w:ascii="Arial" w:hAnsi="Arial"/>
      <w:b/>
    </w:rPr>
  </w:style>
  <w:style w:type="paragraph" w:styleId="Heading2">
    <w:name w:val="heading 2"/>
    <w:basedOn w:val="Normal"/>
    <w:next w:val="Normal"/>
    <w:link w:val="Heading2Char"/>
    <w:qFormat/>
    <w:rsid w:val="00E57595"/>
    <w:pPr>
      <w:keepNext/>
      <w:outlineLvl w:val="1"/>
    </w:pPr>
    <w:rPr>
      <w:rFonts w:ascii="Arial" w:hAnsi="Arial"/>
      <w:b/>
      <w:sz w:val="28"/>
    </w:rPr>
  </w:style>
  <w:style w:type="paragraph" w:styleId="Heading3">
    <w:name w:val="heading 3"/>
    <w:basedOn w:val="Normal"/>
    <w:next w:val="Normal"/>
    <w:link w:val="Heading3Char"/>
    <w:uiPriority w:val="9"/>
    <w:semiHidden/>
    <w:unhideWhenUsed/>
    <w:qFormat/>
    <w:rsid w:val="002971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595"/>
    <w:rPr>
      <w:rFonts w:eastAsia="Times New Roman" w:cs="Times New Roman"/>
      <w:b/>
      <w:sz w:val="20"/>
      <w:szCs w:val="20"/>
    </w:rPr>
  </w:style>
  <w:style w:type="character" w:customStyle="1" w:styleId="Heading2Char">
    <w:name w:val="Heading 2 Char"/>
    <w:basedOn w:val="DefaultParagraphFont"/>
    <w:link w:val="Heading2"/>
    <w:rsid w:val="00E57595"/>
    <w:rPr>
      <w:rFonts w:eastAsia="Times New Roman" w:cs="Times New Roman"/>
      <w:b/>
      <w:sz w:val="28"/>
      <w:szCs w:val="20"/>
    </w:rPr>
  </w:style>
  <w:style w:type="paragraph" w:styleId="ListParagraph">
    <w:name w:val="List Paragraph"/>
    <w:basedOn w:val="Normal"/>
    <w:uiPriority w:val="1"/>
    <w:qFormat/>
    <w:rsid w:val="00E57595"/>
    <w:pPr>
      <w:ind w:left="720"/>
      <w:contextualSpacing/>
    </w:pPr>
  </w:style>
  <w:style w:type="paragraph" w:styleId="Header">
    <w:name w:val="header"/>
    <w:basedOn w:val="Normal"/>
    <w:link w:val="HeaderChar"/>
    <w:uiPriority w:val="99"/>
    <w:unhideWhenUsed/>
    <w:rsid w:val="00DE6490"/>
    <w:pPr>
      <w:tabs>
        <w:tab w:val="center" w:pos="4513"/>
        <w:tab w:val="right" w:pos="9026"/>
      </w:tabs>
    </w:pPr>
  </w:style>
  <w:style w:type="character" w:customStyle="1" w:styleId="HeaderChar">
    <w:name w:val="Header Char"/>
    <w:basedOn w:val="DefaultParagraphFont"/>
    <w:link w:val="Header"/>
    <w:uiPriority w:val="99"/>
    <w:rsid w:val="00DE6490"/>
    <w:rPr>
      <w:rFonts w:ascii="Courier New" w:eastAsia="Times New Roman" w:hAnsi="Courier New" w:cs="Times New Roman"/>
      <w:sz w:val="20"/>
      <w:szCs w:val="20"/>
    </w:rPr>
  </w:style>
  <w:style w:type="paragraph" w:styleId="Footer">
    <w:name w:val="footer"/>
    <w:basedOn w:val="Normal"/>
    <w:link w:val="FooterChar"/>
    <w:uiPriority w:val="99"/>
    <w:unhideWhenUsed/>
    <w:rsid w:val="00DE6490"/>
    <w:pPr>
      <w:tabs>
        <w:tab w:val="center" w:pos="4513"/>
        <w:tab w:val="right" w:pos="9026"/>
      </w:tabs>
    </w:pPr>
  </w:style>
  <w:style w:type="character" w:customStyle="1" w:styleId="FooterChar">
    <w:name w:val="Footer Char"/>
    <w:basedOn w:val="DefaultParagraphFont"/>
    <w:link w:val="Footer"/>
    <w:uiPriority w:val="99"/>
    <w:rsid w:val="00DE6490"/>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310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931"/>
    <w:rPr>
      <w:rFonts w:ascii="Segoe UI" w:eastAsia="Times New Roman" w:hAnsi="Segoe UI" w:cs="Segoe UI"/>
      <w:sz w:val="18"/>
      <w:szCs w:val="18"/>
    </w:rPr>
  </w:style>
  <w:style w:type="table" w:styleId="TableGrid">
    <w:name w:val="Table Grid"/>
    <w:basedOn w:val="TableNormal"/>
    <w:uiPriority w:val="39"/>
    <w:rsid w:val="0072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9715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C4321"/>
    <w:pPr>
      <w:widowControl w:val="0"/>
      <w:autoSpaceDE w:val="0"/>
      <w:autoSpaceDN w:val="0"/>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4C4321"/>
    <w:rPr>
      <w:rFonts w:ascii="Carlito" w:eastAsia="Carlito" w:hAnsi="Carlito" w:cs="Carlito"/>
      <w:sz w:val="24"/>
      <w:szCs w:val="24"/>
      <w:lang w:val="en-US"/>
    </w:rPr>
  </w:style>
  <w:style w:type="character" w:styleId="Hyperlink">
    <w:name w:val="Hyperlink"/>
    <w:basedOn w:val="DefaultParagraphFont"/>
    <w:uiPriority w:val="99"/>
    <w:semiHidden/>
    <w:unhideWhenUsed/>
    <w:rsid w:val="00724134"/>
    <w:rPr>
      <w:color w:val="0000FF"/>
      <w:u w:val="single"/>
    </w:rPr>
  </w:style>
  <w:style w:type="paragraph" w:styleId="TOC1">
    <w:name w:val="toc 1"/>
    <w:basedOn w:val="Normal"/>
    <w:uiPriority w:val="1"/>
    <w:qFormat/>
    <w:rsid w:val="009B12DE"/>
    <w:pPr>
      <w:widowControl w:val="0"/>
      <w:autoSpaceDE w:val="0"/>
      <w:autoSpaceDN w:val="0"/>
      <w:spacing w:before="100"/>
      <w:ind w:left="918" w:hanging="441"/>
    </w:pPr>
    <w:rPr>
      <w:rFonts w:ascii="Caladea" w:eastAsia="Caladea" w:hAnsi="Caladea" w:cs="Calade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27321">
      <w:bodyDiv w:val="1"/>
      <w:marLeft w:val="0"/>
      <w:marRight w:val="0"/>
      <w:marTop w:val="0"/>
      <w:marBottom w:val="0"/>
      <w:divBdr>
        <w:top w:val="none" w:sz="0" w:space="0" w:color="auto"/>
        <w:left w:val="none" w:sz="0" w:space="0" w:color="auto"/>
        <w:bottom w:val="none" w:sz="0" w:space="0" w:color="auto"/>
        <w:right w:val="none" w:sz="0" w:space="0" w:color="auto"/>
      </w:divBdr>
    </w:div>
    <w:div w:id="505170098">
      <w:bodyDiv w:val="1"/>
      <w:marLeft w:val="0"/>
      <w:marRight w:val="0"/>
      <w:marTop w:val="0"/>
      <w:marBottom w:val="0"/>
      <w:divBdr>
        <w:top w:val="none" w:sz="0" w:space="0" w:color="auto"/>
        <w:left w:val="none" w:sz="0" w:space="0" w:color="auto"/>
        <w:bottom w:val="none" w:sz="0" w:space="0" w:color="auto"/>
        <w:right w:val="none" w:sz="0" w:space="0" w:color="auto"/>
      </w:divBdr>
    </w:div>
    <w:div w:id="830948195">
      <w:bodyDiv w:val="1"/>
      <w:marLeft w:val="0"/>
      <w:marRight w:val="0"/>
      <w:marTop w:val="0"/>
      <w:marBottom w:val="0"/>
      <w:divBdr>
        <w:top w:val="none" w:sz="0" w:space="0" w:color="auto"/>
        <w:left w:val="none" w:sz="0" w:space="0" w:color="auto"/>
        <w:bottom w:val="none" w:sz="0" w:space="0" w:color="auto"/>
        <w:right w:val="none" w:sz="0" w:space="0" w:color="auto"/>
      </w:divBdr>
    </w:div>
    <w:div w:id="867915888">
      <w:bodyDiv w:val="1"/>
      <w:marLeft w:val="0"/>
      <w:marRight w:val="0"/>
      <w:marTop w:val="0"/>
      <w:marBottom w:val="0"/>
      <w:divBdr>
        <w:top w:val="none" w:sz="0" w:space="0" w:color="auto"/>
        <w:left w:val="none" w:sz="0" w:space="0" w:color="auto"/>
        <w:bottom w:val="none" w:sz="0" w:space="0" w:color="auto"/>
        <w:right w:val="none" w:sz="0" w:space="0" w:color="auto"/>
      </w:divBdr>
    </w:div>
    <w:div w:id="1098254592">
      <w:bodyDiv w:val="1"/>
      <w:marLeft w:val="0"/>
      <w:marRight w:val="0"/>
      <w:marTop w:val="0"/>
      <w:marBottom w:val="0"/>
      <w:divBdr>
        <w:top w:val="none" w:sz="0" w:space="0" w:color="auto"/>
        <w:left w:val="none" w:sz="0" w:space="0" w:color="auto"/>
        <w:bottom w:val="none" w:sz="0" w:space="0" w:color="auto"/>
        <w:right w:val="none" w:sz="0" w:space="0" w:color="auto"/>
      </w:divBdr>
    </w:div>
    <w:div w:id="1234700207">
      <w:bodyDiv w:val="1"/>
      <w:marLeft w:val="0"/>
      <w:marRight w:val="0"/>
      <w:marTop w:val="0"/>
      <w:marBottom w:val="0"/>
      <w:divBdr>
        <w:top w:val="none" w:sz="0" w:space="0" w:color="auto"/>
        <w:left w:val="none" w:sz="0" w:space="0" w:color="auto"/>
        <w:bottom w:val="none" w:sz="0" w:space="0" w:color="auto"/>
        <w:right w:val="none" w:sz="0" w:space="0" w:color="auto"/>
      </w:divBdr>
    </w:div>
    <w:div w:id="1235774241">
      <w:bodyDiv w:val="1"/>
      <w:marLeft w:val="0"/>
      <w:marRight w:val="0"/>
      <w:marTop w:val="0"/>
      <w:marBottom w:val="0"/>
      <w:divBdr>
        <w:top w:val="none" w:sz="0" w:space="0" w:color="auto"/>
        <w:left w:val="none" w:sz="0" w:space="0" w:color="auto"/>
        <w:bottom w:val="none" w:sz="0" w:space="0" w:color="auto"/>
        <w:right w:val="none" w:sz="0" w:space="0" w:color="auto"/>
      </w:divBdr>
    </w:div>
    <w:div w:id="1269243105">
      <w:bodyDiv w:val="1"/>
      <w:marLeft w:val="0"/>
      <w:marRight w:val="0"/>
      <w:marTop w:val="0"/>
      <w:marBottom w:val="0"/>
      <w:divBdr>
        <w:top w:val="none" w:sz="0" w:space="0" w:color="auto"/>
        <w:left w:val="none" w:sz="0" w:space="0" w:color="auto"/>
        <w:bottom w:val="none" w:sz="0" w:space="0" w:color="auto"/>
        <w:right w:val="none" w:sz="0" w:space="0" w:color="auto"/>
      </w:divBdr>
    </w:div>
    <w:div w:id="1619482183">
      <w:bodyDiv w:val="1"/>
      <w:marLeft w:val="0"/>
      <w:marRight w:val="0"/>
      <w:marTop w:val="0"/>
      <w:marBottom w:val="0"/>
      <w:divBdr>
        <w:top w:val="none" w:sz="0" w:space="0" w:color="auto"/>
        <w:left w:val="none" w:sz="0" w:space="0" w:color="auto"/>
        <w:bottom w:val="none" w:sz="0" w:space="0" w:color="auto"/>
        <w:right w:val="none" w:sz="0" w:space="0" w:color="auto"/>
      </w:divBdr>
    </w:div>
    <w:div w:id="1677271239">
      <w:bodyDiv w:val="1"/>
      <w:marLeft w:val="0"/>
      <w:marRight w:val="0"/>
      <w:marTop w:val="0"/>
      <w:marBottom w:val="0"/>
      <w:divBdr>
        <w:top w:val="none" w:sz="0" w:space="0" w:color="auto"/>
        <w:left w:val="none" w:sz="0" w:space="0" w:color="auto"/>
        <w:bottom w:val="none" w:sz="0" w:space="0" w:color="auto"/>
        <w:right w:val="none" w:sz="0" w:space="0" w:color="auto"/>
      </w:divBdr>
    </w:div>
    <w:div w:id="1689943265">
      <w:bodyDiv w:val="1"/>
      <w:marLeft w:val="0"/>
      <w:marRight w:val="0"/>
      <w:marTop w:val="0"/>
      <w:marBottom w:val="0"/>
      <w:divBdr>
        <w:top w:val="none" w:sz="0" w:space="0" w:color="auto"/>
        <w:left w:val="none" w:sz="0" w:space="0" w:color="auto"/>
        <w:bottom w:val="none" w:sz="0" w:space="0" w:color="auto"/>
        <w:right w:val="none" w:sz="0" w:space="0" w:color="auto"/>
      </w:divBdr>
    </w:div>
    <w:div w:id="1733040131">
      <w:bodyDiv w:val="1"/>
      <w:marLeft w:val="0"/>
      <w:marRight w:val="0"/>
      <w:marTop w:val="0"/>
      <w:marBottom w:val="0"/>
      <w:divBdr>
        <w:top w:val="none" w:sz="0" w:space="0" w:color="auto"/>
        <w:left w:val="none" w:sz="0" w:space="0" w:color="auto"/>
        <w:bottom w:val="none" w:sz="0" w:space="0" w:color="auto"/>
        <w:right w:val="none" w:sz="0" w:space="0" w:color="auto"/>
      </w:divBdr>
    </w:div>
    <w:div w:id="1777939963">
      <w:bodyDiv w:val="1"/>
      <w:marLeft w:val="0"/>
      <w:marRight w:val="0"/>
      <w:marTop w:val="0"/>
      <w:marBottom w:val="0"/>
      <w:divBdr>
        <w:top w:val="none" w:sz="0" w:space="0" w:color="auto"/>
        <w:left w:val="none" w:sz="0" w:space="0" w:color="auto"/>
        <w:bottom w:val="none" w:sz="0" w:space="0" w:color="auto"/>
        <w:right w:val="none" w:sz="0" w:space="0" w:color="auto"/>
      </w:divBdr>
    </w:div>
    <w:div w:id="19556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4AE20F3801B4C817F5BC5933691AF" ma:contentTypeVersion="13" ma:contentTypeDescription="Create a new document." ma:contentTypeScope="" ma:versionID="f58dde11bb7a9f88ba2197d24c1cd1ec">
  <xsd:schema xmlns:xsd="http://www.w3.org/2001/XMLSchema" xmlns:xs="http://www.w3.org/2001/XMLSchema" xmlns:p="http://schemas.microsoft.com/office/2006/metadata/properties" xmlns:ns3="fc15b0dc-8934-48a7-b0c3-1a8d31904dda" xmlns:ns4="570018d8-5750-4468-b8ff-3da0fb6362f3" targetNamespace="http://schemas.microsoft.com/office/2006/metadata/properties" ma:root="true" ma:fieldsID="92a202a774bd666d72332e4c076623db" ns3:_="" ns4:_="">
    <xsd:import namespace="fc15b0dc-8934-48a7-b0c3-1a8d31904dda"/>
    <xsd:import namespace="570018d8-5750-4468-b8ff-3da0fb6362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5b0dc-8934-48a7-b0c3-1a8d31904d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018d8-5750-4468-b8ff-3da0fb6362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872D4-8919-47B9-BAFB-1A3059710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4C973-4C13-4551-984B-94A81B700EE6}">
  <ds:schemaRefs>
    <ds:schemaRef ds:uri="http://schemas.microsoft.com/sharepoint/v3/contenttype/forms"/>
  </ds:schemaRefs>
</ds:datastoreItem>
</file>

<file path=customXml/itemProps3.xml><?xml version="1.0" encoding="utf-8"?>
<ds:datastoreItem xmlns:ds="http://schemas.openxmlformats.org/officeDocument/2006/customXml" ds:itemID="{56B7EF74-769E-45E9-A729-255838E2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5b0dc-8934-48a7-b0c3-1a8d31904dda"/>
    <ds:schemaRef ds:uri="570018d8-5750-4468-b8ff-3da0fb63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Towns</dc:creator>
  <cp:keywords/>
  <dc:description/>
  <cp:lastModifiedBy>Lee Sands</cp:lastModifiedBy>
  <cp:revision>53</cp:revision>
  <cp:lastPrinted>2021-01-07T15:58:00Z</cp:lastPrinted>
  <dcterms:created xsi:type="dcterms:W3CDTF">2022-07-04T15:33:00Z</dcterms:created>
  <dcterms:modified xsi:type="dcterms:W3CDTF">2025-03-17T09:41:00Z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0x010100D054AE20F3801B4C817F5BC5933691AF</vt:lpwstr>
  </property>
</Properties>
</file>